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8E7B" w14:textId="1E86F858" w:rsidR="0086085A" w:rsidRDefault="00F85447" w:rsidP="00EE6905">
      <w:pPr>
        <w:jc w:val="both"/>
        <w:rPr>
          <w:b/>
          <w:color w:val="000000"/>
          <w:lang w:val="en-GB"/>
        </w:rPr>
      </w:pPr>
      <w:bookmarkStart w:id="0" w:name="_heading=h.gjdgxs"/>
      <w:bookmarkStart w:id="1" w:name="_Hlk208860193"/>
      <w:bookmarkEnd w:id="0"/>
      <w:r w:rsidRPr="00F85447">
        <w:rPr>
          <w:b/>
          <w:color w:val="000000"/>
          <w:lang w:val="en-GB"/>
        </w:rPr>
        <w:t>Forecasting-Based Policy Recommendations to Anticipate the Threats of Ministry of Marine Affairs and Fisheries Regulation No. 7 of 2024 on the Rising Smuggling of Lobster Seedlings</w:t>
      </w:r>
    </w:p>
    <w:bookmarkEnd w:id="1"/>
    <w:p w14:paraId="2D79A8A3" w14:textId="77777777" w:rsidR="00F579EF" w:rsidRPr="00EE6905" w:rsidRDefault="00F579EF" w:rsidP="00EE6905">
      <w:pPr>
        <w:jc w:val="both"/>
      </w:pPr>
    </w:p>
    <w:p w14:paraId="6393AE06" w14:textId="24BE65DB" w:rsidR="001B1953" w:rsidRDefault="001B1953" w:rsidP="001B1953">
      <w:pPr>
        <w:jc w:val="both"/>
        <w:rPr>
          <w:b/>
          <w:bCs/>
        </w:rPr>
      </w:pPr>
      <w:bookmarkStart w:id="2" w:name="_Hlk208859115"/>
      <w:proofErr w:type="spellStart"/>
      <w:r w:rsidRPr="001B1953">
        <w:rPr>
          <w:b/>
          <w:bCs/>
        </w:rPr>
        <w:t>Rizqi</w:t>
      </w:r>
      <w:proofErr w:type="spellEnd"/>
      <w:r w:rsidRPr="001B1953">
        <w:rPr>
          <w:b/>
          <w:bCs/>
        </w:rPr>
        <w:t xml:space="preserve"> Ramadhani</w:t>
      </w:r>
      <w:r>
        <w:rPr>
          <w:b/>
          <w:bCs/>
        </w:rPr>
        <w:t xml:space="preserve">, </w:t>
      </w:r>
      <w:r w:rsidRPr="001B1953">
        <w:rPr>
          <w:b/>
          <w:bCs/>
        </w:rPr>
        <w:t>Dewi Wulansari</w:t>
      </w:r>
      <w:r>
        <w:rPr>
          <w:b/>
          <w:bCs/>
        </w:rPr>
        <w:t xml:space="preserve">, </w:t>
      </w:r>
      <w:proofErr w:type="spellStart"/>
      <w:r w:rsidRPr="001B1953">
        <w:rPr>
          <w:b/>
          <w:bCs/>
        </w:rPr>
        <w:t>Krisno</w:t>
      </w:r>
      <w:proofErr w:type="spellEnd"/>
      <w:r w:rsidRPr="001B1953">
        <w:rPr>
          <w:b/>
          <w:bCs/>
        </w:rPr>
        <w:t xml:space="preserve"> </w:t>
      </w:r>
      <w:proofErr w:type="spellStart"/>
      <w:r w:rsidRPr="001B1953">
        <w:rPr>
          <w:b/>
          <w:bCs/>
        </w:rPr>
        <w:t>Legowo</w:t>
      </w:r>
      <w:proofErr w:type="spellEnd"/>
    </w:p>
    <w:bookmarkEnd w:id="2"/>
    <w:p w14:paraId="0A4702DD" w14:textId="322F81CF" w:rsidR="008C2ED9" w:rsidRPr="00EE6905" w:rsidRDefault="008C2ED9" w:rsidP="001B1953">
      <w:pPr>
        <w:jc w:val="both"/>
      </w:pPr>
      <w:proofErr w:type="spellStart"/>
      <w:r w:rsidRPr="00EE6905">
        <w:t>Sekolah</w:t>
      </w:r>
      <w:proofErr w:type="spellEnd"/>
      <w:r w:rsidRPr="00EE6905">
        <w:t xml:space="preserve"> Tinggi </w:t>
      </w:r>
      <w:proofErr w:type="spellStart"/>
      <w:r w:rsidRPr="00EE6905">
        <w:t>Intelijen</w:t>
      </w:r>
      <w:proofErr w:type="spellEnd"/>
      <w:r w:rsidRPr="00EE6905">
        <w:t xml:space="preserve"> Negara</w:t>
      </w:r>
    </w:p>
    <w:p w14:paraId="717B5959" w14:textId="2AC2964C" w:rsidR="00663771" w:rsidRPr="00EE6905" w:rsidRDefault="001D76CD" w:rsidP="00EE6905">
      <w:pPr>
        <w:jc w:val="both"/>
        <w:rPr>
          <w:b/>
          <w:bCs/>
          <w:lang w:val="en-GB"/>
        </w:rPr>
      </w:pPr>
      <w:r w:rsidRPr="00EE6905">
        <w:t>Email</w:t>
      </w:r>
      <w:r w:rsidRPr="00EE6905">
        <w:rPr>
          <w:color w:val="000000"/>
        </w:rPr>
        <w:t xml:space="preserve">: </w:t>
      </w:r>
      <w:hyperlink r:id="rId9" w:history="1">
        <w:r w:rsidR="001B1953" w:rsidRPr="00930002">
          <w:rPr>
            <w:rStyle w:val="Hyperlink"/>
          </w:rPr>
          <w:t>risalahrizqi@gmail.com</w:t>
        </w:r>
      </w:hyperlink>
      <w:r w:rsidR="001B1953">
        <w:t xml:space="preserve"> </w:t>
      </w:r>
    </w:p>
    <w:p w14:paraId="13D20EA8" w14:textId="241F9548" w:rsidR="00223BE7" w:rsidRPr="00EE6905" w:rsidRDefault="00223BE7" w:rsidP="00EE6905">
      <w:pPr>
        <w:jc w:val="both"/>
      </w:pPr>
    </w:p>
    <w:p w14:paraId="272C15C9" w14:textId="77777777" w:rsidR="00653D0A" w:rsidRDefault="00F13C53" w:rsidP="00653D0A">
      <w:pPr>
        <w:pBdr>
          <w:top w:val="nil"/>
          <w:left w:val="nil"/>
          <w:bottom w:val="nil"/>
          <w:right w:val="nil"/>
          <w:between w:val="nil"/>
        </w:pBdr>
        <w:spacing w:line="276" w:lineRule="auto"/>
        <w:jc w:val="both"/>
        <w:rPr>
          <w:lang w:val="en-ID"/>
        </w:rPr>
      </w:pPr>
      <w:r w:rsidRPr="00F13C53">
        <w:rPr>
          <w:b/>
          <w:bCs/>
          <w:lang w:val="en-ID"/>
        </w:rPr>
        <w:t>Abstract</w:t>
      </w:r>
    </w:p>
    <w:p w14:paraId="1C0BB5DC" w14:textId="13C3B78D" w:rsidR="0073588C" w:rsidRPr="00653D0A" w:rsidRDefault="0073588C" w:rsidP="00653D0A">
      <w:pPr>
        <w:pBdr>
          <w:top w:val="nil"/>
          <w:left w:val="nil"/>
          <w:bottom w:val="nil"/>
          <w:right w:val="nil"/>
          <w:between w:val="nil"/>
        </w:pBdr>
        <w:ind w:left="720"/>
        <w:jc w:val="both"/>
        <w:rPr>
          <w:color w:val="000000"/>
          <w:lang w:val="en-ID"/>
        </w:rPr>
      </w:pPr>
      <w:r w:rsidRPr="00551404">
        <w:rPr>
          <w:color w:val="000000"/>
          <w:lang w:val="en-ID"/>
        </w:rPr>
        <w:t>Ministerial Regulation of Marine Affairs and Fisheries No. 7 of 2024 legalizes the export of lobster seeds (</w:t>
      </w:r>
      <w:proofErr w:type="spellStart"/>
      <w:r w:rsidRPr="00551404">
        <w:rPr>
          <w:color w:val="000000"/>
          <w:lang w:val="en-ID"/>
        </w:rPr>
        <w:t>benur</w:t>
      </w:r>
      <w:proofErr w:type="spellEnd"/>
      <w:r w:rsidRPr="00551404">
        <w:rPr>
          <w:color w:val="000000"/>
          <w:lang w:val="en-ID"/>
        </w:rPr>
        <w:t>) under joint ventures, but its implementation has triggered unintended consequences, notably the escalation of smuggling practices. This situation highlights a gap between policy objectives (</w:t>
      </w:r>
      <w:r w:rsidRPr="00551404">
        <w:rPr>
          <w:i/>
          <w:iCs/>
          <w:color w:val="000000"/>
          <w:lang w:val="en-ID"/>
        </w:rPr>
        <w:t xml:space="preserve">das </w:t>
      </w:r>
      <w:proofErr w:type="spellStart"/>
      <w:r w:rsidRPr="00551404">
        <w:rPr>
          <w:i/>
          <w:iCs/>
          <w:color w:val="000000"/>
          <w:lang w:val="en-ID"/>
        </w:rPr>
        <w:t>sollen</w:t>
      </w:r>
      <w:proofErr w:type="spellEnd"/>
      <w:r w:rsidRPr="00551404">
        <w:rPr>
          <w:color w:val="000000"/>
          <w:lang w:val="en-ID"/>
        </w:rPr>
        <w:t>) and actual outcomes (</w:t>
      </w:r>
      <w:r w:rsidRPr="00551404">
        <w:rPr>
          <w:i/>
          <w:iCs/>
          <w:color w:val="000000"/>
          <w:lang w:val="en-ID"/>
        </w:rPr>
        <w:t>das sein</w:t>
      </w:r>
      <w:r w:rsidRPr="00551404">
        <w:rPr>
          <w:color w:val="000000"/>
          <w:lang w:val="en-ID"/>
        </w:rPr>
        <w:t>).</w:t>
      </w:r>
      <w:r>
        <w:rPr>
          <w:color w:val="000000"/>
          <w:lang w:val="en-ID"/>
        </w:rPr>
        <w:t xml:space="preserve"> </w:t>
      </w:r>
      <w:r w:rsidRPr="00551404">
        <w:rPr>
          <w:color w:val="000000"/>
          <w:lang w:val="en-ID"/>
        </w:rPr>
        <w:t xml:space="preserve">research aims to </w:t>
      </w:r>
      <w:proofErr w:type="spellStart"/>
      <w:r w:rsidRPr="00551404">
        <w:rPr>
          <w:color w:val="000000"/>
          <w:lang w:val="en-ID"/>
        </w:rPr>
        <w:t>analyze</w:t>
      </w:r>
      <w:proofErr w:type="spellEnd"/>
      <w:r w:rsidRPr="00551404">
        <w:rPr>
          <w:color w:val="000000"/>
          <w:lang w:val="en-ID"/>
        </w:rPr>
        <w:t xml:space="preserve"> potential threats of lobster seed smuggling using a forecasting approach and to provide long-term policy recommendations.</w:t>
      </w:r>
      <w:r>
        <w:rPr>
          <w:color w:val="000000"/>
          <w:lang w:val="en-ID"/>
        </w:rPr>
        <w:t xml:space="preserve"> </w:t>
      </w:r>
      <w:r w:rsidRPr="00551404">
        <w:rPr>
          <w:color w:val="000000"/>
          <w:lang w:val="en-ID"/>
        </w:rPr>
        <w:t>A mixed-method forecasting design was applied by combining historical trend analysis, the Delphi method, and scenario building. Data were collected from government reports, academic literature, and expert interviews. Validity was ensured through triangulation, while reliability was strengthened using expert consensus measured by Kendall’s W coefficient.</w:t>
      </w:r>
      <w:r>
        <w:rPr>
          <w:color w:val="000000"/>
          <w:lang w:val="en-ID"/>
        </w:rPr>
        <w:t xml:space="preserve"> </w:t>
      </w:r>
      <w:r w:rsidRPr="00551404">
        <w:rPr>
          <w:color w:val="000000"/>
          <w:lang w:val="en-ID"/>
        </w:rPr>
        <w:t>The findings show a doubling of smuggling activities between 2020 and 2024. Projections indicate that under the baseline scenario, smuggling will continue to rise steadily; under the tight enforcement scenario, growth slows significantly due to regulatory and enforcement improvements; while under the loose enforcement scenario, smuggling escalates sharply as a result of weak oversight and high global demand.</w:t>
      </w:r>
      <w:r>
        <w:rPr>
          <w:color w:val="000000"/>
          <w:lang w:val="en-ID"/>
        </w:rPr>
        <w:t xml:space="preserve"> </w:t>
      </w:r>
      <w:r w:rsidRPr="00551404">
        <w:rPr>
          <w:color w:val="000000"/>
          <w:lang w:val="en-ID"/>
        </w:rPr>
        <w:t>Regulation No. 7/2024 may worsen smuggling if not supported by consistent law enforcement, interagency coordination, and demand management strategies.</w:t>
      </w:r>
      <w:r>
        <w:rPr>
          <w:color w:val="000000"/>
          <w:lang w:val="en-ID"/>
        </w:rPr>
        <w:t xml:space="preserve"> </w:t>
      </w:r>
      <w:r w:rsidRPr="00551404">
        <w:rPr>
          <w:color w:val="000000"/>
          <w:lang w:val="en-ID"/>
        </w:rPr>
        <w:t>The government should integrate forecasting into policymaking, strengthen maritime surveillance, provide alternative livelihoods for coastal communities, and enhance regional cooperation to reduce global market pressures.</w:t>
      </w:r>
    </w:p>
    <w:p w14:paraId="18C8CBFD" w14:textId="566551CC" w:rsidR="0073588C" w:rsidRPr="00653D0A" w:rsidRDefault="0073588C" w:rsidP="00653D0A">
      <w:pPr>
        <w:pBdr>
          <w:top w:val="nil"/>
          <w:left w:val="nil"/>
          <w:bottom w:val="nil"/>
          <w:right w:val="nil"/>
          <w:between w:val="nil"/>
        </w:pBdr>
        <w:spacing w:line="276" w:lineRule="auto"/>
        <w:jc w:val="both"/>
        <w:rPr>
          <w:b/>
          <w:bCs/>
          <w:color w:val="000000"/>
          <w:lang w:val="en-ID"/>
        </w:rPr>
      </w:pPr>
      <w:r w:rsidRPr="00551404">
        <w:rPr>
          <w:b/>
          <w:bCs/>
          <w:color w:val="000000"/>
          <w:lang w:val="en-ID"/>
        </w:rPr>
        <w:t>Keywords</w:t>
      </w:r>
      <w:r w:rsidRPr="0073588C">
        <w:rPr>
          <w:b/>
          <w:bCs/>
          <w:color w:val="000000"/>
          <w:lang w:val="en-ID"/>
        </w:rPr>
        <w:t xml:space="preserve">: </w:t>
      </w:r>
      <w:proofErr w:type="spellStart"/>
      <w:r w:rsidRPr="00551404">
        <w:rPr>
          <w:b/>
          <w:bCs/>
          <w:color w:val="000000"/>
          <w:lang w:val="en-ID"/>
        </w:rPr>
        <w:t>Permen</w:t>
      </w:r>
      <w:proofErr w:type="spellEnd"/>
      <w:r w:rsidRPr="00551404">
        <w:rPr>
          <w:b/>
          <w:bCs/>
          <w:color w:val="000000"/>
          <w:lang w:val="en-ID"/>
        </w:rPr>
        <w:t xml:space="preserve"> KKP No. 7/2024; forecasting; lobster seed smuggling; fisheries policy; resource sustainability; law enforcement.</w:t>
      </w:r>
    </w:p>
    <w:p w14:paraId="29CBA2B2" w14:textId="77777777" w:rsidR="0073588C" w:rsidRPr="00EE6905" w:rsidRDefault="0073588C" w:rsidP="00EE6905">
      <w:pPr>
        <w:jc w:val="both"/>
      </w:pPr>
    </w:p>
    <w:p w14:paraId="402B7669" w14:textId="07FFD415" w:rsidR="0073588C" w:rsidRPr="00653D0A" w:rsidRDefault="001D76CD" w:rsidP="00653D0A">
      <w:pPr>
        <w:pBdr>
          <w:top w:val="nil"/>
          <w:left w:val="nil"/>
          <w:bottom w:val="nil"/>
          <w:right w:val="nil"/>
          <w:between w:val="nil"/>
        </w:pBdr>
        <w:jc w:val="both"/>
        <w:rPr>
          <w:b/>
          <w:color w:val="000000"/>
        </w:rPr>
      </w:pPr>
      <w:proofErr w:type="spellStart"/>
      <w:r w:rsidRPr="00EE6905">
        <w:rPr>
          <w:b/>
          <w:color w:val="000000"/>
        </w:rPr>
        <w:t>Abstra</w:t>
      </w:r>
      <w:r w:rsidR="0073588C">
        <w:rPr>
          <w:b/>
          <w:color w:val="000000"/>
        </w:rPr>
        <w:t>k</w:t>
      </w:r>
      <w:proofErr w:type="spellEnd"/>
    </w:p>
    <w:p w14:paraId="0686B434" w14:textId="093CBFE6" w:rsidR="0073588C" w:rsidRDefault="0073588C" w:rsidP="00653D0A">
      <w:pPr>
        <w:ind w:left="720"/>
        <w:jc w:val="both"/>
        <w:rPr>
          <w:lang w:val="en-ID"/>
        </w:rPr>
      </w:pPr>
      <w:proofErr w:type="spellStart"/>
      <w:r w:rsidRPr="0073588C">
        <w:rPr>
          <w:lang w:val="en-ID"/>
        </w:rPr>
        <w:t>Peraturan</w:t>
      </w:r>
      <w:proofErr w:type="spellEnd"/>
      <w:r w:rsidRPr="0073588C">
        <w:rPr>
          <w:lang w:val="en-ID"/>
        </w:rPr>
        <w:t xml:space="preserve"> Menteri </w:t>
      </w:r>
      <w:proofErr w:type="spellStart"/>
      <w:r w:rsidRPr="0073588C">
        <w:rPr>
          <w:lang w:val="en-ID"/>
        </w:rPr>
        <w:t>Kelautan</w:t>
      </w:r>
      <w:proofErr w:type="spellEnd"/>
      <w:r w:rsidRPr="0073588C">
        <w:rPr>
          <w:lang w:val="en-ID"/>
        </w:rPr>
        <w:t xml:space="preserve"> dan </w:t>
      </w:r>
      <w:proofErr w:type="spellStart"/>
      <w:r w:rsidRPr="0073588C">
        <w:rPr>
          <w:lang w:val="en-ID"/>
        </w:rPr>
        <w:t>Perikanan</w:t>
      </w:r>
      <w:proofErr w:type="spellEnd"/>
      <w:r w:rsidRPr="0073588C">
        <w:rPr>
          <w:lang w:val="en-ID"/>
        </w:rPr>
        <w:t xml:space="preserve"> </w:t>
      </w:r>
      <w:proofErr w:type="spellStart"/>
      <w:r w:rsidRPr="0073588C">
        <w:rPr>
          <w:lang w:val="en-ID"/>
        </w:rPr>
        <w:t>Nomor</w:t>
      </w:r>
      <w:proofErr w:type="spellEnd"/>
      <w:r w:rsidRPr="0073588C">
        <w:rPr>
          <w:lang w:val="en-ID"/>
        </w:rPr>
        <w:t xml:space="preserve"> 7 </w:t>
      </w:r>
      <w:proofErr w:type="spellStart"/>
      <w:r w:rsidRPr="0073588C">
        <w:rPr>
          <w:lang w:val="en-ID"/>
        </w:rPr>
        <w:t>Tahun</w:t>
      </w:r>
      <w:proofErr w:type="spellEnd"/>
      <w:r w:rsidRPr="0073588C">
        <w:rPr>
          <w:lang w:val="en-ID"/>
        </w:rPr>
        <w:t xml:space="preserve"> 2024 </w:t>
      </w:r>
      <w:proofErr w:type="spellStart"/>
      <w:r w:rsidRPr="0073588C">
        <w:rPr>
          <w:lang w:val="en-ID"/>
        </w:rPr>
        <w:t>melegalkan</w:t>
      </w:r>
      <w:proofErr w:type="spellEnd"/>
      <w:r w:rsidRPr="0073588C">
        <w:rPr>
          <w:lang w:val="en-ID"/>
        </w:rPr>
        <w:t xml:space="preserve"> </w:t>
      </w:r>
      <w:proofErr w:type="spellStart"/>
      <w:r w:rsidRPr="0073588C">
        <w:rPr>
          <w:lang w:val="en-ID"/>
        </w:rPr>
        <w:t>ekspor</w:t>
      </w:r>
      <w:proofErr w:type="spellEnd"/>
      <w:r w:rsidRPr="0073588C">
        <w:rPr>
          <w:lang w:val="en-ID"/>
        </w:rPr>
        <w:t xml:space="preserve"> </w:t>
      </w:r>
      <w:proofErr w:type="spellStart"/>
      <w:r w:rsidRPr="0073588C">
        <w:rPr>
          <w:lang w:val="en-ID"/>
        </w:rPr>
        <w:t>benih</w:t>
      </w:r>
      <w:proofErr w:type="spellEnd"/>
      <w:r w:rsidRPr="0073588C">
        <w:rPr>
          <w:lang w:val="en-ID"/>
        </w:rPr>
        <w:t xml:space="preserve"> lobster (</w:t>
      </w:r>
      <w:proofErr w:type="spellStart"/>
      <w:r w:rsidRPr="0073588C">
        <w:rPr>
          <w:lang w:val="en-ID"/>
        </w:rPr>
        <w:t>benur</w:t>
      </w:r>
      <w:proofErr w:type="spellEnd"/>
      <w:r w:rsidRPr="0073588C">
        <w:rPr>
          <w:lang w:val="en-ID"/>
        </w:rPr>
        <w:t xml:space="preserve">) </w:t>
      </w:r>
      <w:proofErr w:type="spellStart"/>
      <w:r w:rsidRPr="0073588C">
        <w:rPr>
          <w:lang w:val="en-ID"/>
        </w:rPr>
        <w:t>melalui</w:t>
      </w:r>
      <w:proofErr w:type="spellEnd"/>
      <w:r w:rsidRPr="0073588C">
        <w:rPr>
          <w:lang w:val="en-ID"/>
        </w:rPr>
        <w:t xml:space="preserve"> </w:t>
      </w:r>
      <w:proofErr w:type="spellStart"/>
      <w:r w:rsidRPr="0073588C">
        <w:rPr>
          <w:lang w:val="en-ID"/>
        </w:rPr>
        <w:t>skema</w:t>
      </w:r>
      <w:proofErr w:type="spellEnd"/>
      <w:r w:rsidRPr="0073588C">
        <w:rPr>
          <w:lang w:val="en-ID"/>
        </w:rPr>
        <w:t xml:space="preserve"> </w:t>
      </w:r>
      <w:proofErr w:type="spellStart"/>
      <w:r w:rsidRPr="0073588C">
        <w:rPr>
          <w:lang w:val="en-ID"/>
        </w:rPr>
        <w:t>kerja</w:t>
      </w:r>
      <w:proofErr w:type="spellEnd"/>
      <w:r w:rsidRPr="0073588C">
        <w:rPr>
          <w:lang w:val="en-ID"/>
        </w:rPr>
        <w:t xml:space="preserve"> </w:t>
      </w:r>
      <w:proofErr w:type="spellStart"/>
      <w:r w:rsidRPr="0073588C">
        <w:rPr>
          <w:lang w:val="en-ID"/>
        </w:rPr>
        <w:t>sama</w:t>
      </w:r>
      <w:proofErr w:type="spellEnd"/>
      <w:r w:rsidRPr="0073588C">
        <w:rPr>
          <w:lang w:val="en-ID"/>
        </w:rPr>
        <w:t xml:space="preserve">, </w:t>
      </w:r>
      <w:proofErr w:type="spellStart"/>
      <w:r w:rsidRPr="0073588C">
        <w:rPr>
          <w:lang w:val="en-ID"/>
        </w:rPr>
        <w:t>namun</w:t>
      </w:r>
      <w:proofErr w:type="spellEnd"/>
      <w:r w:rsidRPr="0073588C">
        <w:rPr>
          <w:lang w:val="en-ID"/>
        </w:rPr>
        <w:t xml:space="preserve"> </w:t>
      </w:r>
      <w:proofErr w:type="spellStart"/>
      <w:r w:rsidRPr="0073588C">
        <w:rPr>
          <w:lang w:val="en-ID"/>
        </w:rPr>
        <w:t>implementasinya</w:t>
      </w:r>
      <w:proofErr w:type="spellEnd"/>
      <w:r w:rsidRPr="0073588C">
        <w:rPr>
          <w:lang w:val="en-ID"/>
        </w:rPr>
        <w:t xml:space="preserve"> </w:t>
      </w:r>
      <w:proofErr w:type="spellStart"/>
      <w:r w:rsidRPr="0073588C">
        <w:rPr>
          <w:lang w:val="en-ID"/>
        </w:rPr>
        <w:t>memicu</w:t>
      </w:r>
      <w:proofErr w:type="spellEnd"/>
      <w:r w:rsidRPr="0073588C">
        <w:rPr>
          <w:lang w:val="en-ID"/>
        </w:rPr>
        <w:t xml:space="preserve"> </w:t>
      </w:r>
      <w:proofErr w:type="spellStart"/>
      <w:r w:rsidRPr="0073588C">
        <w:rPr>
          <w:lang w:val="en-ID"/>
        </w:rPr>
        <w:t>konsekuensi</w:t>
      </w:r>
      <w:proofErr w:type="spellEnd"/>
      <w:r w:rsidRPr="0073588C">
        <w:rPr>
          <w:lang w:val="en-ID"/>
        </w:rPr>
        <w:t xml:space="preserve"> yang </w:t>
      </w:r>
      <w:proofErr w:type="spellStart"/>
      <w:r w:rsidRPr="0073588C">
        <w:rPr>
          <w:lang w:val="en-ID"/>
        </w:rPr>
        <w:t>tidak</w:t>
      </w:r>
      <w:proofErr w:type="spellEnd"/>
      <w:r w:rsidRPr="0073588C">
        <w:rPr>
          <w:lang w:val="en-ID"/>
        </w:rPr>
        <w:t xml:space="preserve"> </w:t>
      </w:r>
      <w:proofErr w:type="spellStart"/>
      <w:r w:rsidRPr="0073588C">
        <w:rPr>
          <w:lang w:val="en-ID"/>
        </w:rPr>
        <w:t>diinginkan</w:t>
      </w:r>
      <w:proofErr w:type="spellEnd"/>
      <w:r w:rsidRPr="0073588C">
        <w:rPr>
          <w:lang w:val="en-ID"/>
        </w:rPr>
        <w:t xml:space="preserve">, </w:t>
      </w:r>
      <w:proofErr w:type="spellStart"/>
      <w:r w:rsidRPr="0073588C">
        <w:rPr>
          <w:lang w:val="en-ID"/>
        </w:rPr>
        <w:t>khususnya</w:t>
      </w:r>
      <w:proofErr w:type="spellEnd"/>
      <w:r w:rsidRPr="0073588C">
        <w:rPr>
          <w:lang w:val="en-ID"/>
        </w:rPr>
        <w:t xml:space="preserve"> </w:t>
      </w:r>
      <w:proofErr w:type="spellStart"/>
      <w:r w:rsidRPr="0073588C">
        <w:rPr>
          <w:lang w:val="en-ID"/>
        </w:rPr>
        <w:t>meningkatnya</w:t>
      </w:r>
      <w:proofErr w:type="spellEnd"/>
      <w:r w:rsidRPr="0073588C">
        <w:rPr>
          <w:lang w:val="en-ID"/>
        </w:rPr>
        <w:t xml:space="preserve"> </w:t>
      </w:r>
      <w:proofErr w:type="spellStart"/>
      <w:r w:rsidRPr="0073588C">
        <w:rPr>
          <w:lang w:val="en-ID"/>
        </w:rPr>
        <w:t>praktik</w:t>
      </w:r>
      <w:proofErr w:type="spellEnd"/>
      <w:r w:rsidRPr="0073588C">
        <w:rPr>
          <w:lang w:val="en-ID"/>
        </w:rPr>
        <w:t xml:space="preserve"> </w:t>
      </w:r>
      <w:proofErr w:type="spellStart"/>
      <w:r w:rsidRPr="0073588C">
        <w:rPr>
          <w:lang w:val="en-ID"/>
        </w:rPr>
        <w:t>penyelundupan</w:t>
      </w:r>
      <w:proofErr w:type="spellEnd"/>
      <w:r w:rsidRPr="0073588C">
        <w:rPr>
          <w:lang w:val="en-ID"/>
        </w:rPr>
        <w:t xml:space="preserve">. </w:t>
      </w:r>
      <w:proofErr w:type="spellStart"/>
      <w:r w:rsidRPr="0073588C">
        <w:rPr>
          <w:lang w:val="en-ID"/>
        </w:rPr>
        <w:t>Kondisi</w:t>
      </w:r>
      <w:proofErr w:type="spellEnd"/>
      <w:r w:rsidRPr="0073588C">
        <w:rPr>
          <w:lang w:val="en-ID"/>
        </w:rPr>
        <w:t xml:space="preserve"> </w:t>
      </w:r>
      <w:proofErr w:type="spellStart"/>
      <w:r w:rsidRPr="0073588C">
        <w:rPr>
          <w:lang w:val="en-ID"/>
        </w:rPr>
        <w:t>ini</w:t>
      </w:r>
      <w:proofErr w:type="spellEnd"/>
      <w:r w:rsidRPr="0073588C">
        <w:rPr>
          <w:lang w:val="en-ID"/>
        </w:rPr>
        <w:t xml:space="preserve"> </w:t>
      </w:r>
      <w:proofErr w:type="spellStart"/>
      <w:r w:rsidRPr="0073588C">
        <w:rPr>
          <w:lang w:val="en-ID"/>
        </w:rPr>
        <w:t>menyoroti</w:t>
      </w:r>
      <w:proofErr w:type="spellEnd"/>
      <w:r w:rsidRPr="0073588C">
        <w:rPr>
          <w:lang w:val="en-ID"/>
        </w:rPr>
        <w:t xml:space="preserve"> </w:t>
      </w:r>
      <w:proofErr w:type="spellStart"/>
      <w:r w:rsidRPr="0073588C">
        <w:rPr>
          <w:lang w:val="en-ID"/>
        </w:rPr>
        <w:t>adanya</w:t>
      </w:r>
      <w:proofErr w:type="spellEnd"/>
      <w:r w:rsidRPr="0073588C">
        <w:rPr>
          <w:lang w:val="en-ID"/>
        </w:rPr>
        <w:t xml:space="preserve"> </w:t>
      </w:r>
      <w:proofErr w:type="spellStart"/>
      <w:r w:rsidRPr="0073588C">
        <w:rPr>
          <w:lang w:val="en-ID"/>
        </w:rPr>
        <w:t>kesenjangan</w:t>
      </w:r>
      <w:proofErr w:type="spellEnd"/>
      <w:r w:rsidRPr="0073588C">
        <w:rPr>
          <w:lang w:val="en-ID"/>
        </w:rPr>
        <w:t xml:space="preserve"> </w:t>
      </w:r>
      <w:proofErr w:type="spellStart"/>
      <w:r w:rsidRPr="0073588C">
        <w:rPr>
          <w:lang w:val="en-ID"/>
        </w:rPr>
        <w:t>antara</w:t>
      </w:r>
      <w:proofErr w:type="spellEnd"/>
      <w:r w:rsidRPr="0073588C">
        <w:rPr>
          <w:lang w:val="en-ID"/>
        </w:rPr>
        <w:t xml:space="preserve"> </w:t>
      </w:r>
      <w:proofErr w:type="spellStart"/>
      <w:r w:rsidRPr="0073588C">
        <w:rPr>
          <w:lang w:val="en-ID"/>
        </w:rPr>
        <w:t>tujuan</w:t>
      </w:r>
      <w:proofErr w:type="spellEnd"/>
      <w:r w:rsidRPr="0073588C">
        <w:rPr>
          <w:lang w:val="en-ID"/>
        </w:rPr>
        <w:t xml:space="preserve"> </w:t>
      </w:r>
      <w:proofErr w:type="spellStart"/>
      <w:r w:rsidRPr="0073588C">
        <w:rPr>
          <w:lang w:val="en-ID"/>
        </w:rPr>
        <w:t>kebijakan</w:t>
      </w:r>
      <w:proofErr w:type="spellEnd"/>
      <w:r w:rsidRPr="0073588C">
        <w:rPr>
          <w:lang w:val="en-ID"/>
        </w:rPr>
        <w:t xml:space="preserve"> (</w:t>
      </w:r>
      <w:r w:rsidRPr="0073588C">
        <w:rPr>
          <w:i/>
          <w:iCs/>
          <w:lang w:val="en-ID"/>
        </w:rPr>
        <w:t xml:space="preserve">das </w:t>
      </w:r>
      <w:proofErr w:type="spellStart"/>
      <w:r w:rsidRPr="0073588C">
        <w:rPr>
          <w:i/>
          <w:iCs/>
          <w:lang w:val="en-ID"/>
        </w:rPr>
        <w:t>sollen</w:t>
      </w:r>
      <w:proofErr w:type="spellEnd"/>
      <w:r w:rsidRPr="0073588C">
        <w:rPr>
          <w:lang w:val="en-ID"/>
        </w:rPr>
        <w:t xml:space="preserve">) </w:t>
      </w:r>
      <w:proofErr w:type="spellStart"/>
      <w:r w:rsidRPr="0073588C">
        <w:rPr>
          <w:lang w:val="en-ID"/>
        </w:rPr>
        <w:t>dengan</w:t>
      </w:r>
      <w:proofErr w:type="spellEnd"/>
      <w:r w:rsidRPr="0073588C">
        <w:rPr>
          <w:lang w:val="en-ID"/>
        </w:rPr>
        <w:t xml:space="preserve"> </w:t>
      </w:r>
      <w:proofErr w:type="spellStart"/>
      <w:r w:rsidRPr="0073588C">
        <w:rPr>
          <w:lang w:val="en-ID"/>
        </w:rPr>
        <w:t>hasil</w:t>
      </w:r>
      <w:proofErr w:type="spellEnd"/>
      <w:r w:rsidRPr="0073588C">
        <w:rPr>
          <w:lang w:val="en-ID"/>
        </w:rPr>
        <w:t xml:space="preserve"> </w:t>
      </w:r>
      <w:proofErr w:type="spellStart"/>
      <w:r w:rsidRPr="0073588C">
        <w:rPr>
          <w:lang w:val="en-ID"/>
        </w:rPr>
        <w:t>aktual</w:t>
      </w:r>
      <w:proofErr w:type="spellEnd"/>
      <w:r w:rsidRPr="0073588C">
        <w:rPr>
          <w:lang w:val="en-ID"/>
        </w:rPr>
        <w:t xml:space="preserve"> di </w:t>
      </w:r>
      <w:proofErr w:type="spellStart"/>
      <w:r w:rsidRPr="0073588C">
        <w:rPr>
          <w:lang w:val="en-ID"/>
        </w:rPr>
        <w:t>lapangan</w:t>
      </w:r>
      <w:proofErr w:type="spellEnd"/>
      <w:r w:rsidRPr="0073588C">
        <w:rPr>
          <w:lang w:val="en-ID"/>
        </w:rPr>
        <w:t xml:space="preserve"> (</w:t>
      </w:r>
      <w:r w:rsidRPr="0073588C">
        <w:rPr>
          <w:i/>
          <w:iCs/>
          <w:lang w:val="en-ID"/>
        </w:rPr>
        <w:t>das sein</w:t>
      </w:r>
      <w:r w:rsidRPr="0073588C">
        <w:rPr>
          <w:lang w:val="en-ID"/>
        </w:rPr>
        <w:t>).</w:t>
      </w:r>
      <w:r>
        <w:rPr>
          <w:lang w:val="en-ID"/>
        </w:rPr>
        <w:t xml:space="preserve"> </w:t>
      </w:r>
      <w:proofErr w:type="spellStart"/>
      <w:r w:rsidRPr="0073588C">
        <w:rPr>
          <w:lang w:val="en-ID"/>
        </w:rPr>
        <w:t>Penelitian</w:t>
      </w:r>
      <w:proofErr w:type="spellEnd"/>
      <w:r w:rsidRPr="0073588C">
        <w:rPr>
          <w:lang w:val="en-ID"/>
        </w:rPr>
        <w:t xml:space="preserve"> </w:t>
      </w:r>
      <w:proofErr w:type="spellStart"/>
      <w:r w:rsidRPr="0073588C">
        <w:rPr>
          <w:lang w:val="en-ID"/>
        </w:rPr>
        <w:t>ini</w:t>
      </w:r>
      <w:proofErr w:type="spellEnd"/>
      <w:r w:rsidRPr="0073588C">
        <w:rPr>
          <w:lang w:val="en-ID"/>
        </w:rPr>
        <w:t xml:space="preserve"> </w:t>
      </w:r>
      <w:proofErr w:type="spellStart"/>
      <w:r w:rsidRPr="0073588C">
        <w:rPr>
          <w:lang w:val="en-ID"/>
        </w:rPr>
        <w:t>bertujuan</w:t>
      </w:r>
      <w:proofErr w:type="spellEnd"/>
      <w:r w:rsidRPr="0073588C">
        <w:rPr>
          <w:lang w:val="en-ID"/>
        </w:rPr>
        <w:t xml:space="preserve"> </w:t>
      </w:r>
      <w:proofErr w:type="spellStart"/>
      <w:r w:rsidRPr="0073588C">
        <w:rPr>
          <w:lang w:val="en-ID"/>
        </w:rPr>
        <w:t>untuk</w:t>
      </w:r>
      <w:proofErr w:type="spellEnd"/>
      <w:r w:rsidRPr="0073588C">
        <w:rPr>
          <w:lang w:val="en-ID"/>
        </w:rPr>
        <w:t xml:space="preserve"> </w:t>
      </w:r>
      <w:proofErr w:type="spellStart"/>
      <w:r w:rsidRPr="0073588C">
        <w:rPr>
          <w:lang w:val="en-ID"/>
        </w:rPr>
        <w:t>menganalisis</w:t>
      </w:r>
      <w:proofErr w:type="spellEnd"/>
      <w:r w:rsidRPr="0073588C">
        <w:rPr>
          <w:lang w:val="en-ID"/>
        </w:rPr>
        <w:t xml:space="preserve"> </w:t>
      </w:r>
      <w:proofErr w:type="spellStart"/>
      <w:r w:rsidRPr="0073588C">
        <w:rPr>
          <w:lang w:val="en-ID"/>
        </w:rPr>
        <w:t>potensi</w:t>
      </w:r>
      <w:proofErr w:type="spellEnd"/>
      <w:r w:rsidRPr="0073588C">
        <w:rPr>
          <w:lang w:val="en-ID"/>
        </w:rPr>
        <w:t xml:space="preserve"> </w:t>
      </w:r>
      <w:proofErr w:type="spellStart"/>
      <w:r w:rsidRPr="0073588C">
        <w:rPr>
          <w:lang w:val="en-ID"/>
        </w:rPr>
        <w:t>ancaman</w:t>
      </w:r>
      <w:proofErr w:type="spellEnd"/>
      <w:r w:rsidRPr="0073588C">
        <w:rPr>
          <w:lang w:val="en-ID"/>
        </w:rPr>
        <w:t xml:space="preserve"> </w:t>
      </w:r>
      <w:proofErr w:type="spellStart"/>
      <w:r w:rsidRPr="0073588C">
        <w:rPr>
          <w:lang w:val="en-ID"/>
        </w:rPr>
        <w:t>penyelundupan</w:t>
      </w:r>
      <w:proofErr w:type="spellEnd"/>
      <w:r w:rsidRPr="0073588C">
        <w:rPr>
          <w:lang w:val="en-ID"/>
        </w:rPr>
        <w:t xml:space="preserve"> </w:t>
      </w:r>
      <w:proofErr w:type="spellStart"/>
      <w:r w:rsidRPr="0073588C">
        <w:rPr>
          <w:lang w:val="en-ID"/>
        </w:rPr>
        <w:t>benur</w:t>
      </w:r>
      <w:proofErr w:type="spellEnd"/>
      <w:r w:rsidRPr="0073588C">
        <w:rPr>
          <w:lang w:val="en-ID"/>
        </w:rPr>
        <w:t xml:space="preserve"> </w:t>
      </w:r>
      <w:proofErr w:type="spellStart"/>
      <w:r w:rsidRPr="0073588C">
        <w:rPr>
          <w:lang w:val="en-ID"/>
        </w:rPr>
        <w:t>melalui</w:t>
      </w:r>
      <w:proofErr w:type="spellEnd"/>
      <w:r w:rsidRPr="0073588C">
        <w:rPr>
          <w:lang w:val="en-ID"/>
        </w:rPr>
        <w:t xml:space="preserve"> </w:t>
      </w:r>
      <w:proofErr w:type="spellStart"/>
      <w:r w:rsidRPr="0073588C">
        <w:rPr>
          <w:lang w:val="en-ID"/>
        </w:rPr>
        <w:t>pendekatan</w:t>
      </w:r>
      <w:proofErr w:type="spellEnd"/>
      <w:r w:rsidRPr="0073588C">
        <w:rPr>
          <w:lang w:val="en-ID"/>
        </w:rPr>
        <w:t xml:space="preserve"> forecasting </w:t>
      </w:r>
      <w:proofErr w:type="spellStart"/>
      <w:r w:rsidRPr="0073588C">
        <w:rPr>
          <w:lang w:val="en-ID"/>
        </w:rPr>
        <w:t>serta</w:t>
      </w:r>
      <w:proofErr w:type="spellEnd"/>
      <w:r w:rsidRPr="0073588C">
        <w:rPr>
          <w:lang w:val="en-ID"/>
        </w:rPr>
        <w:t xml:space="preserve"> </w:t>
      </w:r>
      <w:proofErr w:type="spellStart"/>
      <w:r w:rsidRPr="0073588C">
        <w:rPr>
          <w:lang w:val="en-ID"/>
        </w:rPr>
        <w:t>memberikan</w:t>
      </w:r>
      <w:proofErr w:type="spellEnd"/>
      <w:r w:rsidRPr="0073588C">
        <w:rPr>
          <w:lang w:val="en-ID"/>
        </w:rPr>
        <w:t xml:space="preserve"> </w:t>
      </w:r>
      <w:proofErr w:type="spellStart"/>
      <w:r w:rsidRPr="0073588C">
        <w:rPr>
          <w:lang w:val="en-ID"/>
        </w:rPr>
        <w:t>rekomendasi</w:t>
      </w:r>
      <w:proofErr w:type="spellEnd"/>
      <w:r w:rsidRPr="0073588C">
        <w:rPr>
          <w:lang w:val="en-ID"/>
        </w:rPr>
        <w:t xml:space="preserve"> </w:t>
      </w:r>
      <w:proofErr w:type="spellStart"/>
      <w:r w:rsidRPr="0073588C">
        <w:rPr>
          <w:lang w:val="en-ID"/>
        </w:rPr>
        <w:t>kebijakan</w:t>
      </w:r>
      <w:proofErr w:type="spellEnd"/>
      <w:r w:rsidRPr="0073588C">
        <w:rPr>
          <w:lang w:val="en-ID"/>
        </w:rPr>
        <w:t xml:space="preserve"> </w:t>
      </w:r>
      <w:proofErr w:type="spellStart"/>
      <w:r w:rsidRPr="0073588C">
        <w:rPr>
          <w:lang w:val="en-ID"/>
        </w:rPr>
        <w:t>jangka</w:t>
      </w:r>
      <w:proofErr w:type="spellEnd"/>
      <w:r w:rsidRPr="0073588C">
        <w:rPr>
          <w:lang w:val="en-ID"/>
        </w:rPr>
        <w:t xml:space="preserve"> </w:t>
      </w:r>
      <w:proofErr w:type="spellStart"/>
      <w:r w:rsidRPr="0073588C">
        <w:rPr>
          <w:lang w:val="en-ID"/>
        </w:rPr>
        <w:t>panjang</w:t>
      </w:r>
      <w:proofErr w:type="spellEnd"/>
      <w:r w:rsidRPr="0073588C">
        <w:rPr>
          <w:lang w:val="en-ID"/>
        </w:rPr>
        <w:t>.</w:t>
      </w:r>
      <w:r>
        <w:rPr>
          <w:lang w:val="en-ID"/>
        </w:rPr>
        <w:t xml:space="preserve"> </w:t>
      </w:r>
      <w:proofErr w:type="spellStart"/>
      <w:r w:rsidRPr="0073588C">
        <w:rPr>
          <w:lang w:val="en-ID"/>
        </w:rPr>
        <w:t>Penelitian</w:t>
      </w:r>
      <w:proofErr w:type="spellEnd"/>
      <w:r w:rsidRPr="0073588C">
        <w:rPr>
          <w:lang w:val="en-ID"/>
        </w:rPr>
        <w:t xml:space="preserve"> </w:t>
      </w:r>
      <w:proofErr w:type="spellStart"/>
      <w:r w:rsidRPr="0073588C">
        <w:rPr>
          <w:lang w:val="en-ID"/>
        </w:rPr>
        <w:t>ini</w:t>
      </w:r>
      <w:proofErr w:type="spellEnd"/>
      <w:r w:rsidRPr="0073588C">
        <w:rPr>
          <w:lang w:val="en-ID"/>
        </w:rPr>
        <w:t xml:space="preserve"> </w:t>
      </w:r>
      <w:proofErr w:type="spellStart"/>
      <w:r w:rsidRPr="0073588C">
        <w:rPr>
          <w:lang w:val="en-ID"/>
        </w:rPr>
        <w:t>menggunakan</w:t>
      </w:r>
      <w:proofErr w:type="spellEnd"/>
      <w:r w:rsidRPr="0073588C">
        <w:rPr>
          <w:lang w:val="en-ID"/>
        </w:rPr>
        <w:t xml:space="preserve"> </w:t>
      </w:r>
      <w:proofErr w:type="spellStart"/>
      <w:r w:rsidRPr="0073588C">
        <w:rPr>
          <w:lang w:val="en-ID"/>
        </w:rPr>
        <w:t>desain</w:t>
      </w:r>
      <w:proofErr w:type="spellEnd"/>
      <w:r w:rsidRPr="0073588C">
        <w:rPr>
          <w:lang w:val="en-ID"/>
        </w:rPr>
        <w:t xml:space="preserve"> forecasting </w:t>
      </w:r>
      <w:proofErr w:type="spellStart"/>
      <w:r w:rsidRPr="0073588C">
        <w:rPr>
          <w:lang w:val="en-ID"/>
        </w:rPr>
        <w:t>dengan</w:t>
      </w:r>
      <w:proofErr w:type="spellEnd"/>
      <w:r w:rsidRPr="0073588C">
        <w:rPr>
          <w:lang w:val="en-ID"/>
        </w:rPr>
        <w:t xml:space="preserve"> </w:t>
      </w:r>
      <w:proofErr w:type="spellStart"/>
      <w:r w:rsidRPr="0073588C">
        <w:rPr>
          <w:lang w:val="en-ID"/>
        </w:rPr>
        <w:t>metode</w:t>
      </w:r>
      <w:proofErr w:type="spellEnd"/>
      <w:r w:rsidRPr="0073588C">
        <w:rPr>
          <w:lang w:val="en-ID"/>
        </w:rPr>
        <w:t xml:space="preserve"> </w:t>
      </w:r>
      <w:proofErr w:type="spellStart"/>
      <w:r w:rsidRPr="0073588C">
        <w:rPr>
          <w:lang w:val="en-ID"/>
        </w:rPr>
        <w:t>campuran</w:t>
      </w:r>
      <w:proofErr w:type="spellEnd"/>
      <w:r w:rsidRPr="0073588C">
        <w:rPr>
          <w:lang w:val="en-ID"/>
        </w:rPr>
        <w:t xml:space="preserve"> (mixed-method) </w:t>
      </w:r>
      <w:proofErr w:type="spellStart"/>
      <w:r w:rsidRPr="0073588C">
        <w:rPr>
          <w:lang w:val="en-ID"/>
        </w:rPr>
        <w:t>dengan</w:t>
      </w:r>
      <w:proofErr w:type="spellEnd"/>
      <w:r w:rsidRPr="0073588C">
        <w:rPr>
          <w:lang w:val="en-ID"/>
        </w:rPr>
        <w:t xml:space="preserve"> </w:t>
      </w:r>
      <w:proofErr w:type="spellStart"/>
      <w:r w:rsidRPr="0073588C">
        <w:rPr>
          <w:lang w:val="en-ID"/>
        </w:rPr>
        <w:t>mengombinasikan</w:t>
      </w:r>
      <w:proofErr w:type="spellEnd"/>
      <w:r w:rsidRPr="0073588C">
        <w:rPr>
          <w:lang w:val="en-ID"/>
        </w:rPr>
        <w:t xml:space="preserve"> </w:t>
      </w:r>
      <w:proofErr w:type="spellStart"/>
      <w:r w:rsidRPr="0073588C">
        <w:rPr>
          <w:lang w:val="en-ID"/>
        </w:rPr>
        <w:t>analisis</w:t>
      </w:r>
      <w:proofErr w:type="spellEnd"/>
      <w:r w:rsidRPr="0073588C">
        <w:rPr>
          <w:lang w:val="en-ID"/>
        </w:rPr>
        <w:t xml:space="preserve"> </w:t>
      </w:r>
      <w:proofErr w:type="spellStart"/>
      <w:r w:rsidRPr="0073588C">
        <w:rPr>
          <w:lang w:val="en-ID"/>
        </w:rPr>
        <w:t>tren</w:t>
      </w:r>
      <w:proofErr w:type="spellEnd"/>
      <w:r w:rsidRPr="0073588C">
        <w:rPr>
          <w:lang w:val="en-ID"/>
        </w:rPr>
        <w:t xml:space="preserve"> </w:t>
      </w:r>
      <w:proofErr w:type="spellStart"/>
      <w:r w:rsidRPr="0073588C">
        <w:rPr>
          <w:lang w:val="en-ID"/>
        </w:rPr>
        <w:t>historis</w:t>
      </w:r>
      <w:proofErr w:type="spellEnd"/>
      <w:r w:rsidRPr="0073588C">
        <w:rPr>
          <w:lang w:val="en-ID"/>
        </w:rPr>
        <w:t xml:space="preserve">, </w:t>
      </w:r>
      <w:proofErr w:type="spellStart"/>
      <w:r w:rsidRPr="0073588C">
        <w:rPr>
          <w:lang w:val="en-ID"/>
        </w:rPr>
        <w:t>metode</w:t>
      </w:r>
      <w:proofErr w:type="spellEnd"/>
      <w:r w:rsidRPr="0073588C">
        <w:rPr>
          <w:lang w:val="en-ID"/>
        </w:rPr>
        <w:t xml:space="preserve"> Delphi, dan </w:t>
      </w:r>
      <w:proofErr w:type="spellStart"/>
      <w:r w:rsidRPr="0073588C">
        <w:rPr>
          <w:lang w:val="en-ID"/>
        </w:rPr>
        <w:t>penyusunan</w:t>
      </w:r>
      <w:proofErr w:type="spellEnd"/>
      <w:r w:rsidRPr="0073588C">
        <w:rPr>
          <w:lang w:val="en-ID"/>
        </w:rPr>
        <w:t xml:space="preserve"> </w:t>
      </w:r>
      <w:proofErr w:type="spellStart"/>
      <w:r w:rsidRPr="0073588C">
        <w:rPr>
          <w:lang w:val="en-ID"/>
        </w:rPr>
        <w:t>skenario</w:t>
      </w:r>
      <w:proofErr w:type="spellEnd"/>
      <w:r w:rsidRPr="0073588C">
        <w:rPr>
          <w:lang w:val="en-ID"/>
        </w:rPr>
        <w:t xml:space="preserve">. Data </w:t>
      </w:r>
      <w:proofErr w:type="spellStart"/>
      <w:r w:rsidRPr="0073588C">
        <w:rPr>
          <w:lang w:val="en-ID"/>
        </w:rPr>
        <w:t>diperoleh</w:t>
      </w:r>
      <w:proofErr w:type="spellEnd"/>
      <w:r w:rsidRPr="0073588C">
        <w:rPr>
          <w:lang w:val="en-ID"/>
        </w:rPr>
        <w:t xml:space="preserve"> </w:t>
      </w:r>
      <w:proofErr w:type="spellStart"/>
      <w:r w:rsidRPr="0073588C">
        <w:rPr>
          <w:lang w:val="en-ID"/>
        </w:rPr>
        <w:t>dari</w:t>
      </w:r>
      <w:proofErr w:type="spellEnd"/>
      <w:r w:rsidRPr="0073588C">
        <w:rPr>
          <w:lang w:val="en-ID"/>
        </w:rPr>
        <w:t xml:space="preserve"> </w:t>
      </w:r>
      <w:proofErr w:type="spellStart"/>
      <w:r w:rsidRPr="0073588C">
        <w:rPr>
          <w:lang w:val="en-ID"/>
        </w:rPr>
        <w:t>laporan</w:t>
      </w:r>
      <w:proofErr w:type="spellEnd"/>
      <w:r w:rsidRPr="0073588C">
        <w:rPr>
          <w:lang w:val="en-ID"/>
        </w:rPr>
        <w:t xml:space="preserve"> </w:t>
      </w:r>
      <w:proofErr w:type="spellStart"/>
      <w:r w:rsidRPr="0073588C">
        <w:rPr>
          <w:lang w:val="en-ID"/>
        </w:rPr>
        <w:t>pemerintah</w:t>
      </w:r>
      <w:proofErr w:type="spellEnd"/>
      <w:r w:rsidRPr="0073588C">
        <w:rPr>
          <w:lang w:val="en-ID"/>
        </w:rPr>
        <w:t xml:space="preserve">, </w:t>
      </w:r>
      <w:proofErr w:type="spellStart"/>
      <w:r w:rsidRPr="0073588C">
        <w:rPr>
          <w:lang w:val="en-ID"/>
        </w:rPr>
        <w:t>literatur</w:t>
      </w:r>
      <w:proofErr w:type="spellEnd"/>
      <w:r w:rsidRPr="0073588C">
        <w:rPr>
          <w:lang w:val="en-ID"/>
        </w:rPr>
        <w:t xml:space="preserve"> </w:t>
      </w:r>
      <w:proofErr w:type="spellStart"/>
      <w:r w:rsidRPr="0073588C">
        <w:rPr>
          <w:lang w:val="en-ID"/>
        </w:rPr>
        <w:t>akademik</w:t>
      </w:r>
      <w:proofErr w:type="spellEnd"/>
      <w:r w:rsidRPr="0073588C">
        <w:rPr>
          <w:lang w:val="en-ID"/>
        </w:rPr>
        <w:t xml:space="preserve">, </w:t>
      </w:r>
      <w:r w:rsidRPr="0073588C">
        <w:rPr>
          <w:lang w:val="en-ID"/>
        </w:rPr>
        <w:lastRenderedPageBreak/>
        <w:t xml:space="preserve">dan </w:t>
      </w:r>
      <w:proofErr w:type="spellStart"/>
      <w:r w:rsidRPr="0073588C">
        <w:rPr>
          <w:lang w:val="en-ID"/>
        </w:rPr>
        <w:t>wawancara</w:t>
      </w:r>
      <w:proofErr w:type="spellEnd"/>
      <w:r w:rsidRPr="0073588C">
        <w:rPr>
          <w:lang w:val="en-ID"/>
        </w:rPr>
        <w:t xml:space="preserve"> </w:t>
      </w:r>
      <w:proofErr w:type="spellStart"/>
      <w:r w:rsidRPr="0073588C">
        <w:rPr>
          <w:lang w:val="en-ID"/>
        </w:rPr>
        <w:t>pakar</w:t>
      </w:r>
      <w:proofErr w:type="spellEnd"/>
      <w:r w:rsidRPr="0073588C">
        <w:rPr>
          <w:lang w:val="en-ID"/>
        </w:rPr>
        <w:t xml:space="preserve">. </w:t>
      </w:r>
      <w:proofErr w:type="spellStart"/>
      <w:r w:rsidRPr="0073588C">
        <w:rPr>
          <w:lang w:val="en-ID"/>
        </w:rPr>
        <w:t>Validitas</w:t>
      </w:r>
      <w:proofErr w:type="spellEnd"/>
      <w:r w:rsidRPr="0073588C">
        <w:rPr>
          <w:lang w:val="en-ID"/>
        </w:rPr>
        <w:t xml:space="preserve"> </w:t>
      </w:r>
      <w:proofErr w:type="spellStart"/>
      <w:r w:rsidRPr="0073588C">
        <w:rPr>
          <w:lang w:val="en-ID"/>
        </w:rPr>
        <w:t>dijamin</w:t>
      </w:r>
      <w:proofErr w:type="spellEnd"/>
      <w:r w:rsidRPr="0073588C">
        <w:rPr>
          <w:lang w:val="en-ID"/>
        </w:rPr>
        <w:t xml:space="preserve"> </w:t>
      </w:r>
      <w:proofErr w:type="spellStart"/>
      <w:r w:rsidRPr="0073588C">
        <w:rPr>
          <w:lang w:val="en-ID"/>
        </w:rPr>
        <w:t>melalui</w:t>
      </w:r>
      <w:proofErr w:type="spellEnd"/>
      <w:r w:rsidRPr="0073588C">
        <w:rPr>
          <w:lang w:val="en-ID"/>
        </w:rPr>
        <w:t xml:space="preserve"> </w:t>
      </w:r>
      <w:proofErr w:type="spellStart"/>
      <w:r w:rsidRPr="0073588C">
        <w:rPr>
          <w:lang w:val="en-ID"/>
        </w:rPr>
        <w:t>triangulasi</w:t>
      </w:r>
      <w:proofErr w:type="spellEnd"/>
      <w:r w:rsidRPr="0073588C">
        <w:rPr>
          <w:lang w:val="en-ID"/>
        </w:rPr>
        <w:t xml:space="preserve">, </w:t>
      </w:r>
      <w:proofErr w:type="spellStart"/>
      <w:r w:rsidRPr="0073588C">
        <w:rPr>
          <w:lang w:val="en-ID"/>
        </w:rPr>
        <w:t>sementara</w:t>
      </w:r>
      <w:proofErr w:type="spellEnd"/>
      <w:r w:rsidRPr="0073588C">
        <w:rPr>
          <w:lang w:val="en-ID"/>
        </w:rPr>
        <w:t xml:space="preserve"> </w:t>
      </w:r>
      <w:proofErr w:type="spellStart"/>
      <w:r w:rsidRPr="0073588C">
        <w:rPr>
          <w:lang w:val="en-ID"/>
        </w:rPr>
        <w:t>reliabilitas</w:t>
      </w:r>
      <w:proofErr w:type="spellEnd"/>
      <w:r w:rsidRPr="0073588C">
        <w:rPr>
          <w:lang w:val="en-ID"/>
        </w:rPr>
        <w:t xml:space="preserve"> </w:t>
      </w:r>
      <w:proofErr w:type="spellStart"/>
      <w:r w:rsidRPr="0073588C">
        <w:rPr>
          <w:lang w:val="en-ID"/>
        </w:rPr>
        <w:t>diperkuat</w:t>
      </w:r>
      <w:proofErr w:type="spellEnd"/>
      <w:r w:rsidRPr="0073588C">
        <w:rPr>
          <w:lang w:val="en-ID"/>
        </w:rPr>
        <w:t xml:space="preserve"> </w:t>
      </w:r>
      <w:proofErr w:type="spellStart"/>
      <w:r w:rsidRPr="0073588C">
        <w:rPr>
          <w:lang w:val="en-ID"/>
        </w:rPr>
        <w:t>dengan</w:t>
      </w:r>
      <w:proofErr w:type="spellEnd"/>
      <w:r w:rsidRPr="0073588C">
        <w:rPr>
          <w:lang w:val="en-ID"/>
        </w:rPr>
        <w:t xml:space="preserve"> </w:t>
      </w:r>
      <w:proofErr w:type="spellStart"/>
      <w:r w:rsidRPr="0073588C">
        <w:rPr>
          <w:lang w:val="en-ID"/>
        </w:rPr>
        <w:t>konsensus</w:t>
      </w:r>
      <w:proofErr w:type="spellEnd"/>
      <w:r w:rsidRPr="0073588C">
        <w:rPr>
          <w:lang w:val="en-ID"/>
        </w:rPr>
        <w:t xml:space="preserve"> </w:t>
      </w:r>
      <w:proofErr w:type="spellStart"/>
      <w:r w:rsidRPr="0073588C">
        <w:rPr>
          <w:lang w:val="en-ID"/>
        </w:rPr>
        <w:t>pakar</w:t>
      </w:r>
      <w:proofErr w:type="spellEnd"/>
      <w:r w:rsidRPr="0073588C">
        <w:rPr>
          <w:lang w:val="en-ID"/>
        </w:rPr>
        <w:t xml:space="preserve"> yang </w:t>
      </w:r>
      <w:proofErr w:type="spellStart"/>
      <w:r w:rsidRPr="0073588C">
        <w:rPr>
          <w:lang w:val="en-ID"/>
        </w:rPr>
        <w:t>diukur</w:t>
      </w:r>
      <w:proofErr w:type="spellEnd"/>
      <w:r w:rsidRPr="0073588C">
        <w:rPr>
          <w:lang w:val="en-ID"/>
        </w:rPr>
        <w:t xml:space="preserve"> </w:t>
      </w:r>
      <w:proofErr w:type="spellStart"/>
      <w:r w:rsidRPr="0073588C">
        <w:rPr>
          <w:lang w:val="en-ID"/>
        </w:rPr>
        <w:t>menggunakan</w:t>
      </w:r>
      <w:proofErr w:type="spellEnd"/>
      <w:r w:rsidRPr="0073588C">
        <w:rPr>
          <w:lang w:val="en-ID"/>
        </w:rPr>
        <w:t xml:space="preserve"> </w:t>
      </w:r>
      <w:proofErr w:type="spellStart"/>
      <w:r w:rsidRPr="0073588C">
        <w:rPr>
          <w:lang w:val="en-ID"/>
        </w:rPr>
        <w:t>koefisien</w:t>
      </w:r>
      <w:proofErr w:type="spellEnd"/>
      <w:r w:rsidRPr="0073588C">
        <w:rPr>
          <w:lang w:val="en-ID"/>
        </w:rPr>
        <w:t xml:space="preserve"> Kendall’s W.</w:t>
      </w:r>
      <w:r>
        <w:rPr>
          <w:lang w:val="en-ID"/>
        </w:rPr>
        <w:t xml:space="preserve"> </w:t>
      </w:r>
      <w:proofErr w:type="spellStart"/>
      <w:r w:rsidRPr="0073588C">
        <w:rPr>
          <w:lang w:val="en-ID"/>
        </w:rPr>
        <w:t>Temuan</w:t>
      </w:r>
      <w:proofErr w:type="spellEnd"/>
      <w:r w:rsidRPr="0073588C">
        <w:rPr>
          <w:lang w:val="en-ID"/>
        </w:rPr>
        <w:t xml:space="preserve"> </w:t>
      </w:r>
      <w:proofErr w:type="spellStart"/>
      <w:r w:rsidRPr="0073588C">
        <w:rPr>
          <w:lang w:val="en-ID"/>
        </w:rPr>
        <w:t>menunjukkan</w:t>
      </w:r>
      <w:proofErr w:type="spellEnd"/>
      <w:r w:rsidRPr="0073588C">
        <w:rPr>
          <w:lang w:val="en-ID"/>
        </w:rPr>
        <w:t xml:space="preserve"> </w:t>
      </w:r>
      <w:proofErr w:type="spellStart"/>
      <w:r w:rsidRPr="0073588C">
        <w:rPr>
          <w:lang w:val="en-ID"/>
        </w:rPr>
        <w:t>adanya</w:t>
      </w:r>
      <w:proofErr w:type="spellEnd"/>
      <w:r w:rsidRPr="0073588C">
        <w:rPr>
          <w:lang w:val="en-ID"/>
        </w:rPr>
        <w:t xml:space="preserve"> </w:t>
      </w:r>
      <w:proofErr w:type="spellStart"/>
      <w:r w:rsidRPr="0073588C">
        <w:rPr>
          <w:lang w:val="en-ID"/>
        </w:rPr>
        <w:t>peningkatan</w:t>
      </w:r>
      <w:proofErr w:type="spellEnd"/>
      <w:r w:rsidRPr="0073588C">
        <w:rPr>
          <w:lang w:val="en-ID"/>
        </w:rPr>
        <w:t xml:space="preserve"> dua kali </w:t>
      </w:r>
      <w:proofErr w:type="spellStart"/>
      <w:r w:rsidRPr="0073588C">
        <w:rPr>
          <w:lang w:val="en-ID"/>
        </w:rPr>
        <w:t>lipat</w:t>
      </w:r>
      <w:proofErr w:type="spellEnd"/>
      <w:r w:rsidRPr="0073588C">
        <w:rPr>
          <w:lang w:val="en-ID"/>
        </w:rPr>
        <w:t xml:space="preserve"> </w:t>
      </w:r>
      <w:proofErr w:type="spellStart"/>
      <w:r w:rsidRPr="0073588C">
        <w:rPr>
          <w:lang w:val="en-ID"/>
        </w:rPr>
        <w:t>aktivitas</w:t>
      </w:r>
      <w:proofErr w:type="spellEnd"/>
      <w:r w:rsidRPr="0073588C">
        <w:rPr>
          <w:lang w:val="en-ID"/>
        </w:rPr>
        <w:t xml:space="preserve"> </w:t>
      </w:r>
      <w:proofErr w:type="spellStart"/>
      <w:r w:rsidRPr="0073588C">
        <w:rPr>
          <w:lang w:val="en-ID"/>
        </w:rPr>
        <w:t>penyelundupan</w:t>
      </w:r>
      <w:proofErr w:type="spellEnd"/>
      <w:r w:rsidRPr="0073588C">
        <w:rPr>
          <w:lang w:val="en-ID"/>
        </w:rPr>
        <w:t xml:space="preserve"> </w:t>
      </w:r>
      <w:proofErr w:type="spellStart"/>
      <w:r w:rsidRPr="0073588C">
        <w:rPr>
          <w:lang w:val="en-ID"/>
        </w:rPr>
        <w:t>antara</w:t>
      </w:r>
      <w:proofErr w:type="spellEnd"/>
      <w:r w:rsidRPr="0073588C">
        <w:rPr>
          <w:lang w:val="en-ID"/>
        </w:rPr>
        <w:t xml:space="preserve"> </w:t>
      </w:r>
      <w:proofErr w:type="spellStart"/>
      <w:r w:rsidRPr="0073588C">
        <w:rPr>
          <w:lang w:val="en-ID"/>
        </w:rPr>
        <w:t>tahun</w:t>
      </w:r>
      <w:proofErr w:type="spellEnd"/>
      <w:r w:rsidRPr="0073588C">
        <w:rPr>
          <w:lang w:val="en-ID"/>
        </w:rPr>
        <w:t xml:space="preserve"> 2020 </w:t>
      </w:r>
      <w:proofErr w:type="spellStart"/>
      <w:r w:rsidRPr="0073588C">
        <w:rPr>
          <w:lang w:val="en-ID"/>
        </w:rPr>
        <w:t>hingga</w:t>
      </w:r>
      <w:proofErr w:type="spellEnd"/>
      <w:r w:rsidRPr="0073588C">
        <w:rPr>
          <w:lang w:val="en-ID"/>
        </w:rPr>
        <w:t xml:space="preserve"> 2024. </w:t>
      </w:r>
      <w:proofErr w:type="spellStart"/>
      <w:r w:rsidRPr="0073588C">
        <w:rPr>
          <w:lang w:val="en-ID"/>
        </w:rPr>
        <w:t>Proyeksi</w:t>
      </w:r>
      <w:proofErr w:type="spellEnd"/>
      <w:r w:rsidRPr="0073588C">
        <w:rPr>
          <w:lang w:val="en-ID"/>
        </w:rPr>
        <w:t xml:space="preserve"> </w:t>
      </w:r>
      <w:proofErr w:type="spellStart"/>
      <w:r w:rsidRPr="0073588C">
        <w:rPr>
          <w:lang w:val="en-ID"/>
        </w:rPr>
        <w:t>memperlihatkan</w:t>
      </w:r>
      <w:proofErr w:type="spellEnd"/>
      <w:r w:rsidRPr="0073588C">
        <w:rPr>
          <w:lang w:val="en-ID"/>
        </w:rPr>
        <w:t xml:space="preserve"> </w:t>
      </w:r>
      <w:proofErr w:type="spellStart"/>
      <w:r w:rsidRPr="0073588C">
        <w:rPr>
          <w:lang w:val="en-ID"/>
        </w:rPr>
        <w:t>bahwa</w:t>
      </w:r>
      <w:proofErr w:type="spellEnd"/>
      <w:r w:rsidRPr="0073588C">
        <w:rPr>
          <w:lang w:val="en-ID"/>
        </w:rPr>
        <w:t xml:space="preserve"> pada </w:t>
      </w:r>
      <w:proofErr w:type="spellStart"/>
      <w:r w:rsidRPr="0073588C">
        <w:rPr>
          <w:lang w:val="en-ID"/>
        </w:rPr>
        <w:t>skenario</w:t>
      </w:r>
      <w:proofErr w:type="spellEnd"/>
      <w:r w:rsidRPr="0073588C">
        <w:rPr>
          <w:lang w:val="en-ID"/>
        </w:rPr>
        <w:t xml:space="preserve"> baseline, </w:t>
      </w:r>
      <w:proofErr w:type="spellStart"/>
      <w:r w:rsidRPr="0073588C">
        <w:rPr>
          <w:lang w:val="en-ID"/>
        </w:rPr>
        <w:t>penyelundupan</w:t>
      </w:r>
      <w:proofErr w:type="spellEnd"/>
      <w:r w:rsidRPr="0073588C">
        <w:rPr>
          <w:lang w:val="en-ID"/>
        </w:rPr>
        <w:t xml:space="preserve"> </w:t>
      </w:r>
      <w:proofErr w:type="spellStart"/>
      <w:r w:rsidRPr="0073588C">
        <w:rPr>
          <w:lang w:val="en-ID"/>
        </w:rPr>
        <w:t>akan</w:t>
      </w:r>
      <w:proofErr w:type="spellEnd"/>
      <w:r w:rsidRPr="0073588C">
        <w:rPr>
          <w:lang w:val="en-ID"/>
        </w:rPr>
        <w:t xml:space="preserve"> </w:t>
      </w:r>
      <w:proofErr w:type="spellStart"/>
      <w:r w:rsidRPr="0073588C">
        <w:rPr>
          <w:lang w:val="en-ID"/>
        </w:rPr>
        <w:t>terus</w:t>
      </w:r>
      <w:proofErr w:type="spellEnd"/>
      <w:r w:rsidRPr="0073588C">
        <w:rPr>
          <w:lang w:val="en-ID"/>
        </w:rPr>
        <w:t xml:space="preserve"> </w:t>
      </w:r>
      <w:proofErr w:type="spellStart"/>
      <w:r w:rsidRPr="0073588C">
        <w:rPr>
          <w:lang w:val="en-ID"/>
        </w:rPr>
        <w:t>meningkat</w:t>
      </w:r>
      <w:proofErr w:type="spellEnd"/>
      <w:r w:rsidRPr="0073588C">
        <w:rPr>
          <w:lang w:val="en-ID"/>
        </w:rPr>
        <w:t xml:space="preserve"> </w:t>
      </w:r>
      <w:proofErr w:type="spellStart"/>
      <w:r w:rsidRPr="0073588C">
        <w:rPr>
          <w:lang w:val="en-ID"/>
        </w:rPr>
        <w:t>secara</w:t>
      </w:r>
      <w:proofErr w:type="spellEnd"/>
      <w:r w:rsidRPr="0073588C">
        <w:rPr>
          <w:lang w:val="en-ID"/>
        </w:rPr>
        <w:t xml:space="preserve"> </w:t>
      </w:r>
      <w:proofErr w:type="spellStart"/>
      <w:r w:rsidRPr="0073588C">
        <w:rPr>
          <w:lang w:val="en-ID"/>
        </w:rPr>
        <w:t>bertahap</w:t>
      </w:r>
      <w:proofErr w:type="spellEnd"/>
      <w:r w:rsidRPr="0073588C">
        <w:rPr>
          <w:lang w:val="en-ID"/>
        </w:rPr>
        <w:t xml:space="preserve">; pada </w:t>
      </w:r>
      <w:proofErr w:type="spellStart"/>
      <w:r w:rsidRPr="0073588C">
        <w:rPr>
          <w:lang w:val="en-ID"/>
        </w:rPr>
        <w:t>skenario</w:t>
      </w:r>
      <w:proofErr w:type="spellEnd"/>
      <w:r w:rsidRPr="0073588C">
        <w:rPr>
          <w:lang w:val="en-ID"/>
        </w:rPr>
        <w:t xml:space="preserve"> </w:t>
      </w:r>
      <w:proofErr w:type="spellStart"/>
      <w:r w:rsidRPr="0073588C">
        <w:rPr>
          <w:lang w:val="en-ID"/>
        </w:rPr>
        <w:t>penegakan</w:t>
      </w:r>
      <w:proofErr w:type="spellEnd"/>
      <w:r w:rsidRPr="0073588C">
        <w:rPr>
          <w:lang w:val="en-ID"/>
        </w:rPr>
        <w:t xml:space="preserve"> </w:t>
      </w:r>
      <w:proofErr w:type="spellStart"/>
      <w:r w:rsidRPr="0073588C">
        <w:rPr>
          <w:lang w:val="en-ID"/>
        </w:rPr>
        <w:t>ketat</w:t>
      </w:r>
      <w:proofErr w:type="spellEnd"/>
      <w:r w:rsidRPr="0073588C">
        <w:rPr>
          <w:lang w:val="en-ID"/>
        </w:rPr>
        <w:t xml:space="preserve">, </w:t>
      </w:r>
      <w:proofErr w:type="spellStart"/>
      <w:r w:rsidRPr="0073588C">
        <w:rPr>
          <w:lang w:val="en-ID"/>
        </w:rPr>
        <w:t>pertumbuhan</w:t>
      </w:r>
      <w:proofErr w:type="spellEnd"/>
      <w:r w:rsidRPr="0073588C">
        <w:rPr>
          <w:lang w:val="en-ID"/>
        </w:rPr>
        <w:t xml:space="preserve"> </w:t>
      </w:r>
      <w:proofErr w:type="spellStart"/>
      <w:r w:rsidRPr="0073588C">
        <w:rPr>
          <w:lang w:val="en-ID"/>
        </w:rPr>
        <w:t>melambat</w:t>
      </w:r>
      <w:proofErr w:type="spellEnd"/>
      <w:r w:rsidRPr="0073588C">
        <w:rPr>
          <w:lang w:val="en-ID"/>
        </w:rPr>
        <w:t xml:space="preserve"> </w:t>
      </w:r>
      <w:proofErr w:type="spellStart"/>
      <w:r w:rsidRPr="0073588C">
        <w:rPr>
          <w:lang w:val="en-ID"/>
        </w:rPr>
        <w:t>secara</w:t>
      </w:r>
      <w:proofErr w:type="spellEnd"/>
      <w:r w:rsidRPr="0073588C">
        <w:rPr>
          <w:lang w:val="en-ID"/>
        </w:rPr>
        <w:t xml:space="preserve"> </w:t>
      </w:r>
      <w:proofErr w:type="spellStart"/>
      <w:r w:rsidRPr="0073588C">
        <w:rPr>
          <w:lang w:val="en-ID"/>
        </w:rPr>
        <w:t>signifikan</w:t>
      </w:r>
      <w:proofErr w:type="spellEnd"/>
      <w:r w:rsidRPr="0073588C">
        <w:rPr>
          <w:lang w:val="en-ID"/>
        </w:rPr>
        <w:t xml:space="preserve"> </w:t>
      </w:r>
      <w:proofErr w:type="spellStart"/>
      <w:r w:rsidRPr="0073588C">
        <w:rPr>
          <w:lang w:val="en-ID"/>
        </w:rPr>
        <w:t>berkat</w:t>
      </w:r>
      <w:proofErr w:type="spellEnd"/>
      <w:r w:rsidRPr="0073588C">
        <w:rPr>
          <w:lang w:val="en-ID"/>
        </w:rPr>
        <w:t xml:space="preserve"> </w:t>
      </w:r>
      <w:proofErr w:type="spellStart"/>
      <w:r w:rsidRPr="0073588C">
        <w:rPr>
          <w:lang w:val="en-ID"/>
        </w:rPr>
        <w:t>perbaikan</w:t>
      </w:r>
      <w:proofErr w:type="spellEnd"/>
      <w:r w:rsidRPr="0073588C">
        <w:rPr>
          <w:lang w:val="en-ID"/>
        </w:rPr>
        <w:t xml:space="preserve"> </w:t>
      </w:r>
      <w:proofErr w:type="spellStart"/>
      <w:r w:rsidRPr="0073588C">
        <w:rPr>
          <w:lang w:val="en-ID"/>
        </w:rPr>
        <w:t>regulasi</w:t>
      </w:r>
      <w:proofErr w:type="spellEnd"/>
      <w:r w:rsidRPr="0073588C">
        <w:rPr>
          <w:lang w:val="en-ID"/>
        </w:rPr>
        <w:t xml:space="preserve"> dan </w:t>
      </w:r>
      <w:proofErr w:type="spellStart"/>
      <w:r w:rsidRPr="0073588C">
        <w:rPr>
          <w:lang w:val="en-ID"/>
        </w:rPr>
        <w:t>penegakan</w:t>
      </w:r>
      <w:proofErr w:type="spellEnd"/>
      <w:r w:rsidRPr="0073588C">
        <w:rPr>
          <w:lang w:val="en-ID"/>
        </w:rPr>
        <w:t xml:space="preserve"> </w:t>
      </w:r>
      <w:proofErr w:type="spellStart"/>
      <w:r w:rsidRPr="0073588C">
        <w:rPr>
          <w:lang w:val="en-ID"/>
        </w:rPr>
        <w:t>hukum</w:t>
      </w:r>
      <w:proofErr w:type="spellEnd"/>
      <w:r w:rsidRPr="0073588C">
        <w:rPr>
          <w:lang w:val="en-ID"/>
        </w:rPr>
        <w:t xml:space="preserve">; </w:t>
      </w:r>
      <w:proofErr w:type="spellStart"/>
      <w:r w:rsidRPr="0073588C">
        <w:rPr>
          <w:lang w:val="en-ID"/>
        </w:rPr>
        <w:t>sementara</w:t>
      </w:r>
      <w:proofErr w:type="spellEnd"/>
      <w:r w:rsidRPr="0073588C">
        <w:rPr>
          <w:lang w:val="en-ID"/>
        </w:rPr>
        <w:t xml:space="preserve"> pada </w:t>
      </w:r>
      <w:proofErr w:type="spellStart"/>
      <w:r w:rsidRPr="0073588C">
        <w:rPr>
          <w:lang w:val="en-ID"/>
        </w:rPr>
        <w:t>skenario</w:t>
      </w:r>
      <w:proofErr w:type="spellEnd"/>
      <w:r w:rsidRPr="0073588C">
        <w:rPr>
          <w:lang w:val="en-ID"/>
        </w:rPr>
        <w:t xml:space="preserve"> </w:t>
      </w:r>
      <w:proofErr w:type="spellStart"/>
      <w:r w:rsidRPr="0073588C">
        <w:rPr>
          <w:lang w:val="en-ID"/>
        </w:rPr>
        <w:t>longgar</w:t>
      </w:r>
      <w:proofErr w:type="spellEnd"/>
      <w:r w:rsidRPr="0073588C">
        <w:rPr>
          <w:lang w:val="en-ID"/>
        </w:rPr>
        <w:t xml:space="preserve">, </w:t>
      </w:r>
      <w:proofErr w:type="spellStart"/>
      <w:r w:rsidRPr="0073588C">
        <w:rPr>
          <w:lang w:val="en-ID"/>
        </w:rPr>
        <w:t>penyelundupan</w:t>
      </w:r>
      <w:proofErr w:type="spellEnd"/>
      <w:r w:rsidRPr="0073588C">
        <w:rPr>
          <w:lang w:val="en-ID"/>
        </w:rPr>
        <w:t xml:space="preserve"> </w:t>
      </w:r>
      <w:proofErr w:type="spellStart"/>
      <w:r w:rsidRPr="0073588C">
        <w:rPr>
          <w:lang w:val="en-ID"/>
        </w:rPr>
        <w:t>melonjak</w:t>
      </w:r>
      <w:proofErr w:type="spellEnd"/>
      <w:r w:rsidRPr="0073588C">
        <w:rPr>
          <w:lang w:val="en-ID"/>
        </w:rPr>
        <w:t xml:space="preserve"> </w:t>
      </w:r>
      <w:proofErr w:type="spellStart"/>
      <w:r w:rsidRPr="0073588C">
        <w:rPr>
          <w:lang w:val="en-ID"/>
        </w:rPr>
        <w:t>tajam</w:t>
      </w:r>
      <w:proofErr w:type="spellEnd"/>
      <w:r w:rsidRPr="0073588C">
        <w:rPr>
          <w:lang w:val="en-ID"/>
        </w:rPr>
        <w:t xml:space="preserve"> </w:t>
      </w:r>
      <w:proofErr w:type="spellStart"/>
      <w:r w:rsidRPr="0073588C">
        <w:rPr>
          <w:lang w:val="en-ID"/>
        </w:rPr>
        <w:t>akibat</w:t>
      </w:r>
      <w:proofErr w:type="spellEnd"/>
      <w:r w:rsidRPr="0073588C">
        <w:rPr>
          <w:lang w:val="en-ID"/>
        </w:rPr>
        <w:t xml:space="preserve"> </w:t>
      </w:r>
      <w:proofErr w:type="spellStart"/>
      <w:r w:rsidRPr="0073588C">
        <w:rPr>
          <w:lang w:val="en-ID"/>
        </w:rPr>
        <w:t>lemahnya</w:t>
      </w:r>
      <w:proofErr w:type="spellEnd"/>
      <w:r w:rsidRPr="0073588C">
        <w:rPr>
          <w:lang w:val="en-ID"/>
        </w:rPr>
        <w:t xml:space="preserve"> </w:t>
      </w:r>
      <w:proofErr w:type="spellStart"/>
      <w:r w:rsidRPr="0073588C">
        <w:rPr>
          <w:lang w:val="en-ID"/>
        </w:rPr>
        <w:t>pengawasan</w:t>
      </w:r>
      <w:proofErr w:type="spellEnd"/>
      <w:r w:rsidRPr="0073588C">
        <w:rPr>
          <w:lang w:val="en-ID"/>
        </w:rPr>
        <w:t xml:space="preserve"> dan </w:t>
      </w:r>
      <w:proofErr w:type="spellStart"/>
      <w:r w:rsidRPr="0073588C">
        <w:rPr>
          <w:lang w:val="en-ID"/>
        </w:rPr>
        <w:t>tingginya</w:t>
      </w:r>
      <w:proofErr w:type="spellEnd"/>
      <w:r w:rsidRPr="0073588C">
        <w:rPr>
          <w:lang w:val="en-ID"/>
        </w:rPr>
        <w:t xml:space="preserve"> </w:t>
      </w:r>
      <w:proofErr w:type="spellStart"/>
      <w:r w:rsidRPr="0073588C">
        <w:rPr>
          <w:lang w:val="en-ID"/>
        </w:rPr>
        <w:t>permintaan</w:t>
      </w:r>
      <w:proofErr w:type="spellEnd"/>
      <w:r w:rsidRPr="0073588C">
        <w:rPr>
          <w:lang w:val="en-ID"/>
        </w:rPr>
        <w:t xml:space="preserve"> global.</w:t>
      </w:r>
      <w:r>
        <w:rPr>
          <w:lang w:val="en-ID"/>
        </w:rPr>
        <w:t xml:space="preserve"> </w:t>
      </w:r>
      <w:proofErr w:type="spellStart"/>
      <w:r w:rsidRPr="0073588C">
        <w:rPr>
          <w:lang w:val="en-ID"/>
        </w:rPr>
        <w:t>Peraturan</w:t>
      </w:r>
      <w:proofErr w:type="spellEnd"/>
      <w:r w:rsidRPr="0073588C">
        <w:rPr>
          <w:lang w:val="en-ID"/>
        </w:rPr>
        <w:t xml:space="preserve"> </w:t>
      </w:r>
      <w:proofErr w:type="spellStart"/>
      <w:r w:rsidRPr="0073588C">
        <w:rPr>
          <w:lang w:val="en-ID"/>
        </w:rPr>
        <w:t>Nomor</w:t>
      </w:r>
      <w:proofErr w:type="spellEnd"/>
      <w:r w:rsidRPr="0073588C">
        <w:rPr>
          <w:lang w:val="en-ID"/>
        </w:rPr>
        <w:t xml:space="preserve"> 7/2024 </w:t>
      </w:r>
      <w:proofErr w:type="spellStart"/>
      <w:r w:rsidRPr="0073588C">
        <w:rPr>
          <w:lang w:val="en-ID"/>
        </w:rPr>
        <w:t>berpotensi</w:t>
      </w:r>
      <w:proofErr w:type="spellEnd"/>
      <w:r w:rsidRPr="0073588C">
        <w:rPr>
          <w:lang w:val="en-ID"/>
        </w:rPr>
        <w:t xml:space="preserve"> </w:t>
      </w:r>
      <w:proofErr w:type="spellStart"/>
      <w:r w:rsidRPr="0073588C">
        <w:rPr>
          <w:lang w:val="en-ID"/>
        </w:rPr>
        <w:t>memperburuk</w:t>
      </w:r>
      <w:proofErr w:type="spellEnd"/>
      <w:r w:rsidRPr="0073588C">
        <w:rPr>
          <w:lang w:val="en-ID"/>
        </w:rPr>
        <w:t xml:space="preserve"> </w:t>
      </w:r>
      <w:proofErr w:type="spellStart"/>
      <w:r w:rsidRPr="0073588C">
        <w:rPr>
          <w:lang w:val="en-ID"/>
        </w:rPr>
        <w:t>masalah</w:t>
      </w:r>
      <w:proofErr w:type="spellEnd"/>
      <w:r w:rsidRPr="0073588C">
        <w:rPr>
          <w:lang w:val="en-ID"/>
        </w:rPr>
        <w:t xml:space="preserve"> </w:t>
      </w:r>
      <w:proofErr w:type="spellStart"/>
      <w:r w:rsidRPr="0073588C">
        <w:rPr>
          <w:lang w:val="en-ID"/>
        </w:rPr>
        <w:t>penyelundupan</w:t>
      </w:r>
      <w:proofErr w:type="spellEnd"/>
      <w:r w:rsidRPr="0073588C">
        <w:rPr>
          <w:lang w:val="en-ID"/>
        </w:rPr>
        <w:t xml:space="preserve"> </w:t>
      </w:r>
      <w:proofErr w:type="spellStart"/>
      <w:r w:rsidRPr="0073588C">
        <w:rPr>
          <w:lang w:val="en-ID"/>
        </w:rPr>
        <w:t>jika</w:t>
      </w:r>
      <w:proofErr w:type="spellEnd"/>
      <w:r w:rsidRPr="0073588C">
        <w:rPr>
          <w:lang w:val="en-ID"/>
        </w:rPr>
        <w:t xml:space="preserve"> </w:t>
      </w:r>
      <w:proofErr w:type="spellStart"/>
      <w:r w:rsidRPr="0073588C">
        <w:rPr>
          <w:lang w:val="en-ID"/>
        </w:rPr>
        <w:t>tidak</w:t>
      </w:r>
      <w:proofErr w:type="spellEnd"/>
      <w:r w:rsidRPr="0073588C">
        <w:rPr>
          <w:lang w:val="en-ID"/>
        </w:rPr>
        <w:t xml:space="preserve"> </w:t>
      </w:r>
      <w:proofErr w:type="spellStart"/>
      <w:r w:rsidRPr="0073588C">
        <w:rPr>
          <w:lang w:val="en-ID"/>
        </w:rPr>
        <w:t>disertai</w:t>
      </w:r>
      <w:proofErr w:type="spellEnd"/>
      <w:r w:rsidRPr="0073588C">
        <w:rPr>
          <w:lang w:val="en-ID"/>
        </w:rPr>
        <w:t xml:space="preserve"> </w:t>
      </w:r>
      <w:proofErr w:type="spellStart"/>
      <w:r w:rsidRPr="0073588C">
        <w:rPr>
          <w:lang w:val="en-ID"/>
        </w:rPr>
        <w:t>dengan</w:t>
      </w:r>
      <w:proofErr w:type="spellEnd"/>
      <w:r w:rsidRPr="0073588C">
        <w:rPr>
          <w:lang w:val="en-ID"/>
        </w:rPr>
        <w:t xml:space="preserve"> </w:t>
      </w:r>
      <w:proofErr w:type="spellStart"/>
      <w:r w:rsidRPr="0073588C">
        <w:rPr>
          <w:lang w:val="en-ID"/>
        </w:rPr>
        <w:t>penegakan</w:t>
      </w:r>
      <w:proofErr w:type="spellEnd"/>
      <w:r w:rsidRPr="0073588C">
        <w:rPr>
          <w:lang w:val="en-ID"/>
        </w:rPr>
        <w:t xml:space="preserve"> </w:t>
      </w:r>
      <w:proofErr w:type="spellStart"/>
      <w:r w:rsidRPr="0073588C">
        <w:rPr>
          <w:lang w:val="en-ID"/>
        </w:rPr>
        <w:t>hukum</w:t>
      </w:r>
      <w:proofErr w:type="spellEnd"/>
      <w:r w:rsidRPr="0073588C">
        <w:rPr>
          <w:lang w:val="en-ID"/>
        </w:rPr>
        <w:t xml:space="preserve"> yang </w:t>
      </w:r>
      <w:proofErr w:type="spellStart"/>
      <w:r w:rsidRPr="0073588C">
        <w:rPr>
          <w:lang w:val="en-ID"/>
        </w:rPr>
        <w:t>konsisten</w:t>
      </w:r>
      <w:proofErr w:type="spellEnd"/>
      <w:r w:rsidRPr="0073588C">
        <w:rPr>
          <w:lang w:val="en-ID"/>
        </w:rPr>
        <w:t xml:space="preserve">, </w:t>
      </w:r>
      <w:proofErr w:type="spellStart"/>
      <w:r w:rsidRPr="0073588C">
        <w:rPr>
          <w:lang w:val="en-ID"/>
        </w:rPr>
        <w:t>koordinasi</w:t>
      </w:r>
      <w:proofErr w:type="spellEnd"/>
      <w:r w:rsidRPr="0073588C">
        <w:rPr>
          <w:lang w:val="en-ID"/>
        </w:rPr>
        <w:t xml:space="preserve"> </w:t>
      </w:r>
      <w:proofErr w:type="spellStart"/>
      <w:r w:rsidRPr="0073588C">
        <w:rPr>
          <w:lang w:val="en-ID"/>
        </w:rPr>
        <w:t>antarinstansi</w:t>
      </w:r>
      <w:proofErr w:type="spellEnd"/>
      <w:r w:rsidRPr="0073588C">
        <w:rPr>
          <w:lang w:val="en-ID"/>
        </w:rPr>
        <w:t xml:space="preserve">, dan strategi </w:t>
      </w:r>
      <w:proofErr w:type="spellStart"/>
      <w:r w:rsidRPr="0073588C">
        <w:rPr>
          <w:lang w:val="en-ID"/>
        </w:rPr>
        <w:t>pengendalian</w:t>
      </w:r>
      <w:proofErr w:type="spellEnd"/>
      <w:r w:rsidRPr="0073588C">
        <w:rPr>
          <w:lang w:val="en-ID"/>
        </w:rPr>
        <w:t xml:space="preserve"> </w:t>
      </w:r>
      <w:proofErr w:type="spellStart"/>
      <w:r w:rsidRPr="0073588C">
        <w:rPr>
          <w:lang w:val="en-ID"/>
        </w:rPr>
        <w:t>permintaan</w:t>
      </w:r>
      <w:proofErr w:type="spellEnd"/>
      <w:r w:rsidRPr="0073588C">
        <w:rPr>
          <w:lang w:val="en-ID"/>
        </w:rPr>
        <w:t>.</w:t>
      </w:r>
      <w:r>
        <w:rPr>
          <w:lang w:val="en-ID"/>
        </w:rPr>
        <w:t xml:space="preserve"> </w:t>
      </w:r>
      <w:proofErr w:type="spellStart"/>
      <w:r w:rsidRPr="0073588C">
        <w:rPr>
          <w:lang w:val="en-ID"/>
        </w:rPr>
        <w:t>Pemerintah</w:t>
      </w:r>
      <w:proofErr w:type="spellEnd"/>
      <w:r w:rsidRPr="0073588C">
        <w:rPr>
          <w:lang w:val="en-ID"/>
        </w:rPr>
        <w:t xml:space="preserve"> </w:t>
      </w:r>
      <w:proofErr w:type="spellStart"/>
      <w:r w:rsidRPr="0073588C">
        <w:rPr>
          <w:lang w:val="en-ID"/>
        </w:rPr>
        <w:t>perlu</w:t>
      </w:r>
      <w:proofErr w:type="spellEnd"/>
      <w:r w:rsidRPr="0073588C">
        <w:rPr>
          <w:lang w:val="en-ID"/>
        </w:rPr>
        <w:t xml:space="preserve"> </w:t>
      </w:r>
      <w:proofErr w:type="spellStart"/>
      <w:r w:rsidRPr="0073588C">
        <w:rPr>
          <w:lang w:val="en-ID"/>
        </w:rPr>
        <w:t>mengintegrasikan</w:t>
      </w:r>
      <w:proofErr w:type="spellEnd"/>
      <w:r w:rsidRPr="0073588C">
        <w:rPr>
          <w:lang w:val="en-ID"/>
        </w:rPr>
        <w:t xml:space="preserve"> </w:t>
      </w:r>
      <w:proofErr w:type="spellStart"/>
      <w:r w:rsidRPr="0073588C">
        <w:rPr>
          <w:lang w:val="en-ID"/>
        </w:rPr>
        <w:t>pendekatan</w:t>
      </w:r>
      <w:proofErr w:type="spellEnd"/>
      <w:r w:rsidRPr="0073588C">
        <w:rPr>
          <w:lang w:val="en-ID"/>
        </w:rPr>
        <w:t xml:space="preserve"> forecasting </w:t>
      </w:r>
      <w:proofErr w:type="spellStart"/>
      <w:r w:rsidRPr="0073588C">
        <w:rPr>
          <w:lang w:val="en-ID"/>
        </w:rPr>
        <w:t>dalam</w:t>
      </w:r>
      <w:proofErr w:type="spellEnd"/>
      <w:r w:rsidRPr="0073588C">
        <w:rPr>
          <w:lang w:val="en-ID"/>
        </w:rPr>
        <w:t xml:space="preserve"> </w:t>
      </w:r>
      <w:proofErr w:type="spellStart"/>
      <w:r w:rsidRPr="0073588C">
        <w:rPr>
          <w:lang w:val="en-ID"/>
        </w:rPr>
        <w:t>perumusan</w:t>
      </w:r>
      <w:proofErr w:type="spellEnd"/>
      <w:r w:rsidRPr="0073588C">
        <w:rPr>
          <w:lang w:val="en-ID"/>
        </w:rPr>
        <w:t xml:space="preserve"> </w:t>
      </w:r>
      <w:proofErr w:type="spellStart"/>
      <w:r w:rsidRPr="0073588C">
        <w:rPr>
          <w:lang w:val="en-ID"/>
        </w:rPr>
        <w:t>kebijakan</w:t>
      </w:r>
      <w:proofErr w:type="spellEnd"/>
      <w:r w:rsidRPr="0073588C">
        <w:rPr>
          <w:lang w:val="en-ID"/>
        </w:rPr>
        <w:t xml:space="preserve">, </w:t>
      </w:r>
      <w:proofErr w:type="spellStart"/>
      <w:r w:rsidRPr="0073588C">
        <w:rPr>
          <w:lang w:val="en-ID"/>
        </w:rPr>
        <w:t>memperkuat</w:t>
      </w:r>
      <w:proofErr w:type="spellEnd"/>
      <w:r w:rsidRPr="0073588C">
        <w:rPr>
          <w:lang w:val="en-ID"/>
        </w:rPr>
        <w:t xml:space="preserve"> </w:t>
      </w:r>
      <w:proofErr w:type="spellStart"/>
      <w:r w:rsidRPr="0073588C">
        <w:rPr>
          <w:lang w:val="en-ID"/>
        </w:rPr>
        <w:t>pengawasan</w:t>
      </w:r>
      <w:proofErr w:type="spellEnd"/>
      <w:r w:rsidRPr="0073588C">
        <w:rPr>
          <w:lang w:val="en-ID"/>
        </w:rPr>
        <w:t xml:space="preserve"> </w:t>
      </w:r>
      <w:proofErr w:type="spellStart"/>
      <w:r w:rsidRPr="0073588C">
        <w:rPr>
          <w:lang w:val="en-ID"/>
        </w:rPr>
        <w:t>laut</w:t>
      </w:r>
      <w:proofErr w:type="spellEnd"/>
      <w:r w:rsidRPr="0073588C">
        <w:rPr>
          <w:lang w:val="en-ID"/>
        </w:rPr>
        <w:t xml:space="preserve">, </w:t>
      </w:r>
      <w:proofErr w:type="spellStart"/>
      <w:r w:rsidRPr="0073588C">
        <w:rPr>
          <w:lang w:val="en-ID"/>
        </w:rPr>
        <w:t>menyediakan</w:t>
      </w:r>
      <w:proofErr w:type="spellEnd"/>
      <w:r w:rsidRPr="0073588C">
        <w:rPr>
          <w:lang w:val="en-ID"/>
        </w:rPr>
        <w:t xml:space="preserve"> </w:t>
      </w:r>
      <w:proofErr w:type="spellStart"/>
      <w:r w:rsidRPr="0073588C">
        <w:rPr>
          <w:lang w:val="en-ID"/>
        </w:rPr>
        <w:t>alternatif</w:t>
      </w:r>
      <w:proofErr w:type="spellEnd"/>
      <w:r w:rsidRPr="0073588C">
        <w:rPr>
          <w:lang w:val="en-ID"/>
        </w:rPr>
        <w:t xml:space="preserve"> </w:t>
      </w:r>
      <w:proofErr w:type="spellStart"/>
      <w:r w:rsidRPr="0073588C">
        <w:rPr>
          <w:lang w:val="en-ID"/>
        </w:rPr>
        <w:t>mata</w:t>
      </w:r>
      <w:proofErr w:type="spellEnd"/>
      <w:r w:rsidRPr="0073588C">
        <w:rPr>
          <w:lang w:val="en-ID"/>
        </w:rPr>
        <w:t xml:space="preserve"> </w:t>
      </w:r>
      <w:proofErr w:type="spellStart"/>
      <w:r w:rsidRPr="0073588C">
        <w:rPr>
          <w:lang w:val="en-ID"/>
        </w:rPr>
        <w:t>pencaharian</w:t>
      </w:r>
      <w:proofErr w:type="spellEnd"/>
      <w:r w:rsidRPr="0073588C">
        <w:rPr>
          <w:lang w:val="en-ID"/>
        </w:rPr>
        <w:t xml:space="preserve"> </w:t>
      </w:r>
      <w:proofErr w:type="spellStart"/>
      <w:r w:rsidRPr="0073588C">
        <w:rPr>
          <w:lang w:val="en-ID"/>
        </w:rPr>
        <w:t>bagi</w:t>
      </w:r>
      <w:proofErr w:type="spellEnd"/>
      <w:r w:rsidRPr="0073588C">
        <w:rPr>
          <w:lang w:val="en-ID"/>
        </w:rPr>
        <w:t xml:space="preserve"> </w:t>
      </w:r>
      <w:proofErr w:type="spellStart"/>
      <w:r w:rsidRPr="0073588C">
        <w:rPr>
          <w:lang w:val="en-ID"/>
        </w:rPr>
        <w:t>masyarakat</w:t>
      </w:r>
      <w:proofErr w:type="spellEnd"/>
      <w:r w:rsidRPr="0073588C">
        <w:rPr>
          <w:lang w:val="en-ID"/>
        </w:rPr>
        <w:t xml:space="preserve"> </w:t>
      </w:r>
      <w:proofErr w:type="spellStart"/>
      <w:r w:rsidRPr="0073588C">
        <w:rPr>
          <w:lang w:val="en-ID"/>
        </w:rPr>
        <w:t>pesisir</w:t>
      </w:r>
      <w:proofErr w:type="spellEnd"/>
      <w:r w:rsidRPr="0073588C">
        <w:rPr>
          <w:lang w:val="en-ID"/>
        </w:rPr>
        <w:t xml:space="preserve">, </w:t>
      </w:r>
      <w:proofErr w:type="spellStart"/>
      <w:r w:rsidRPr="0073588C">
        <w:rPr>
          <w:lang w:val="en-ID"/>
        </w:rPr>
        <w:t>serta</w:t>
      </w:r>
      <w:proofErr w:type="spellEnd"/>
      <w:r w:rsidRPr="0073588C">
        <w:rPr>
          <w:lang w:val="en-ID"/>
        </w:rPr>
        <w:t xml:space="preserve"> </w:t>
      </w:r>
      <w:proofErr w:type="spellStart"/>
      <w:r w:rsidRPr="0073588C">
        <w:rPr>
          <w:lang w:val="en-ID"/>
        </w:rPr>
        <w:t>meningkatkan</w:t>
      </w:r>
      <w:proofErr w:type="spellEnd"/>
      <w:r w:rsidRPr="0073588C">
        <w:rPr>
          <w:lang w:val="en-ID"/>
        </w:rPr>
        <w:t xml:space="preserve"> </w:t>
      </w:r>
      <w:proofErr w:type="spellStart"/>
      <w:r w:rsidRPr="0073588C">
        <w:rPr>
          <w:lang w:val="en-ID"/>
        </w:rPr>
        <w:t>kerja</w:t>
      </w:r>
      <w:proofErr w:type="spellEnd"/>
      <w:r w:rsidRPr="0073588C">
        <w:rPr>
          <w:lang w:val="en-ID"/>
        </w:rPr>
        <w:t xml:space="preserve"> </w:t>
      </w:r>
      <w:proofErr w:type="spellStart"/>
      <w:r w:rsidRPr="0073588C">
        <w:rPr>
          <w:lang w:val="en-ID"/>
        </w:rPr>
        <w:t>sama</w:t>
      </w:r>
      <w:proofErr w:type="spellEnd"/>
      <w:r w:rsidRPr="0073588C">
        <w:rPr>
          <w:lang w:val="en-ID"/>
        </w:rPr>
        <w:t xml:space="preserve"> regional </w:t>
      </w:r>
      <w:proofErr w:type="spellStart"/>
      <w:r w:rsidRPr="0073588C">
        <w:rPr>
          <w:lang w:val="en-ID"/>
        </w:rPr>
        <w:t>untuk</w:t>
      </w:r>
      <w:proofErr w:type="spellEnd"/>
      <w:r w:rsidRPr="0073588C">
        <w:rPr>
          <w:lang w:val="en-ID"/>
        </w:rPr>
        <w:t xml:space="preserve"> </w:t>
      </w:r>
      <w:proofErr w:type="spellStart"/>
      <w:r w:rsidRPr="0073588C">
        <w:rPr>
          <w:lang w:val="en-ID"/>
        </w:rPr>
        <w:t>mengendalikan</w:t>
      </w:r>
      <w:proofErr w:type="spellEnd"/>
      <w:r w:rsidRPr="0073588C">
        <w:rPr>
          <w:lang w:val="en-ID"/>
        </w:rPr>
        <w:t xml:space="preserve"> </w:t>
      </w:r>
      <w:proofErr w:type="spellStart"/>
      <w:r w:rsidRPr="0073588C">
        <w:rPr>
          <w:lang w:val="en-ID"/>
        </w:rPr>
        <w:t>tekanan</w:t>
      </w:r>
      <w:proofErr w:type="spellEnd"/>
      <w:r w:rsidRPr="0073588C">
        <w:rPr>
          <w:lang w:val="en-ID"/>
        </w:rPr>
        <w:t xml:space="preserve"> pasar global.</w:t>
      </w:r>
    </w:p>
    <w:p w14:paraId="19889666" w14:textId="77777777" w:rsidR="0073588C" w:rsidRPr="0073588C" w:rsidRDefault="0073588C" w:rsidP="0073588C">
      <w:pPr>
        <w:spacing w:line="276" w:lineRule="auto"/>
        <w:jc w:val="both"/>
        <w:rPr>
          <w:b/>
          <w:bCs/>
          <w:lang w:val="en-ID"/>
        </w:rPr>
      </w:pPr>
      <w:r w:rsidRPr="0073588C">
        <w:rPr>
          <w:b/>
          <w:bCs/>
          <w:lang w:val="en-ID"/>
        </w:rPr>
        <w:t xml:space="preserve">Kata Kunci: </w:t>
      </w:r>
      <w:proofErr w:type="spellStart"/>
      <w:r w:rsidRPr="0073588C">
        <w:rPr>
          <w:b/>
          <w:bCs/>
          <w:lang w:val="en-ID"/>
        </w:rPr>
        <w:t>Permen</w:t>
      </w:r>
      <w:proofErr w:type="spellEnd"/>
      <w:r w:rsidRPr="0073588C">
        <w:rPr>
          <w:b/>
          <w:bCs/>
          <w:lang w:val="en-ID"/>
        </w:rPr>
        <w:t xml:space="preserve"> KKP No. 7/2024; </w:t>
      </w:r>
      <w:proofErr w:type="spellStart"/>
      <w:r w:rsidRPr="0073588C">
        <w:rPr>
          <w:b/>
          <w:bCs/>
          <w:lang w:val="en-ID"/>
        </w:rPr>
        <w:t>peramalan</w:t>
      </w:r>
      <w:proofErr w:type="spellEnd"/>
      <w:r w:rsidRPr="0073588C">
        <w:rPr>
          <w:b/>
          <w:bCs/>
          <w:lang w:val="en-ID"/>
        </w:rPr>
        <w:t xml:space="preserve">; </w:t>
      </w:r>
      <w:proofErr w:type="spellStart"/>
      <w:r w:rsidRPr="0073588C">
        <w:rPr>
          <w:b/>
          <w:bCs/>
          <w:lang w:val="en-ID"/>
        </w:rPr>
        <w:t>penyelundupan</w:t>
      </w:r>
      <w:proofErr w:type="spellEnd"/>
      <w:r w:rsidRPr="0073588C">
        <w:rPr>
          <w:b/>
          <w:bCs/>
          <w:lang w:val="en-ID"/>
        </w:rPr>
        <w:t xml:space="preserve"> </w:t>
      </w:r>
      <w:proofErr w:type="spellStart"/>
      <w:r w:rsidRPr="0073588C">
        <w:rPr>
          <w:b/>
          <w:bCs/>
          <w:lang w:val="en-ID"/>
        </w:rPr>
        <w:t>benih</w:t>
      </w:r>
      <w:proofErr w:type="spellEnd"/>
      <w:r w:rsidRPr="0073588C">
        <w:rPr>
          <w:b/>
          <w:bCs/>
          <w:lang w:val="en-ID"/>
        </w:rPr>
        <w:t xml:space="preserve"> lobster; </w:t>
      </w:r>
      <w:proofErr w:type="spellStart"/>
      <w:r w:rsidRPr="0073588C">
        <w:rPr>
          <w:b/>
          <w:bCs/>
          <w:lang w:val="en-ID"/>
        </w:rPr>
        <w:t>kebijakan</w:t>
      </w:r>
      <w:proofErr w:type="spellEnd"/>
      <w:r w:rsidRPr="0073588C">
        <w:rPr>
          <w:b/>
          <w:bCs/>
          <w:lang w:val="en-ID"/>
        </w:rPr>
        <w:t xml:space="preserve"> </w:t>
      </w:r>
      <w:proofErr w:type="spellStart"/>
      <w:r w:rsidRPr="0073588C">
        <w:rPr>
          <w:b/>
          <w:bCs/>
          <w:lang w:val="en-ID"/>
        </w:rPr>
        <w:t>perikanan</w:t>
      </w:r>
      <w:proofErr w:type="spellEnd"/>
      <w:r w:rsidRPr="0073588C">
        <w:rPr>
          <w:b/>
          <w:bCs/>
          <w:lang w:val="en-ID"/>
        </w:rPr>
        <w:t xml:space="preserve">; </w:t>
      </w:r>
      <w:proofErr w:type="spellStart"/>
      <w:r w:rsidRPr="0073588C">
        <w:rPr>
          <w:b/>
          <w:bCs/>
          <w:lang w:val="en-ID"/>
        </w:rPr>
        <w:t>keberlanjutan</w:t>
      </w:r>
      <w:proofErr w:type="spellEnd"/>
      <w:r w:rsidRPr="0073588C">
        <w:rPr>
          <w:b/>
          <w:bCs/>
          <w:lang w:val="en-ID"/>
        </w:rPr>
        <w:t xml:space="preserve"> </w:t>
      </w:r>
      <w:proofErr w:type="spellStart"/>
      <w:r w:rsidRPr="0073588C">
        <w:rPr>
          <w:b/>
          <w:bCs/>
          <w:lang w:val="en-ID"/>
        </w:rPr>
        <w:t>sumber</w:t>
      </w:r>
      <w:proofErr w:type="spellEnd"/>
      <w:r w:rsidRPr="0073588C">
        <w:rPr>
          <w:b/>
          <w:bCs/>
          <w:lang w:val="en-ID"/>
        </w:rPr>
        <w:t xml:space="preserve"> </w:t>
      </w:r>
      <w:proofErr w:type="spellStart"/>
      <w:r w:rsidRPr="0073588C">
        <w:rPr>
          <w:b/>
          <w:bCs/>
          <w:lang w:val="en-ID"/>
        </w:rPr>
        <w:t>daya</w:t>
      </w:r>
      <w:proofErr w:type="spellEnd"/>
      <w:r w:rsidRPr="0073588C">
        <w:rPr>
          <w:b/>
          <w:bCs/>
          <w:lang w:val="en-ID"/>
        </w:rPr>
        <w:t xml:space="preserve">; </w:t>
      </w:r>
      <w:proofErr w:type="spellStart"/>
      <w:r w:rsidRPr="0073588C">
        <w:rPr>
          <w:b/>
          <w:bCs/>
          <w:lang w:val="en-ID"/>
        </w:rPr>
        <w:t>penegakan</w:t>
      </w:r>
      <w:proofErr w:type="spellEnd"/>
      <w:r w:rsidRPr="0073588C">
        <w:rPr>
          <w:b/>
          <w:bCs/>
          <w:lang w:val="en-ID"/>
        </w:rPr>
        <w:t xml:space="preserve"> </w:t>
      </w:r>
      <w:proofErr w:type="spellStart"/>
      <w:r w:rsidRPr="0073588C">
        <w:rPr>
          <w:b/>
          <w:bCs/>
          <w:lang w:val="en-ID"/>
        </w:rPr>
        <w:t>hukum</w:t>
      </w:r>
      <w:proofErr w:type="spellEnd"/>
      <w:r w:rsidRPr="0073588C">
        <w:rPr>
          <w:b/>
          <w:bCs/>
          <w:lang w:val="en-ID"/>
        </w:rPr>
        <w:t>.</w:t>
      </w:r>
    </w:p>
    <w:p w14:paraId="336B59E8" w14:textId="77777777" w:rsidR="00D677C5" w:rsidRPr="00EE6905" w:rsidRDefault="00D677C5" w:rsidP="00EE6905">
      <w:pPr>
        <w:spacing w:line="276" w:lineRule="auto"/>
        <w:jc w:val="both"/>
        <w:rPr>
          <w:b/>
          <w:color w:val="000000"/>
        </w:rPr>
      </w:pPr>
    </w:p>
    <w:p w14:paraId="3D4444DA" w14:textId="77777777" w:rsidR="00653D0A" w:rsidRPr="00EE6905" w:rsidRDefault="00653D0A" w:rsidP="00653D0A">
      <w:pPr>
        <w:pBdr>
          <w:top w:val="nil"/>
          <w:left w:val="nil"/>
          <w:bottom w:val="nil"/>
          <w:right w:val="nil"/>
          <w:between w:val="nil"/>
        </w:pBdr>
        <w:spacing w:line="276" w:lineRule="auto"/>
        <w:jc w:val="both"/>
        <w:rPr>
          <w:color w:val="000000"/>
        </w:rPr>
      </w:pPr>
      <w:r w:rsidRPr="00EE6905">
        <w:rPr>
          <w:color w:val="000000"/>
        </w:rPr>
        <w:t xml:space="preserve">Received: </w:t>
      </w:r>
      <w:r>
        <w:rPr>
          <w:color w:val="000000"/>
        </w:rPr>
        <w:t>05</w:t>
      </w:r>
      <w:r w:rsidRPr="00EE6905">
        <w:rPr>
          <w:color w:val="000000"/>
        </w:rPr>
        <w:t>-</w:t>
      </w:r>
      <w:r>
        <w:rPr>
          <w:color w:val="000000"/>
        </w:rPr>
        <w:t>09</w:t>
      </w:r>
      <w:r w:rsidRPr="00EE6905">
        <w:rPr>
          <w:color w:val="000000"/>
        </w:rPr>
        <w:t>-202</w:t>
      </w:r>
      <w:r>
        <w:rPr>
          <w:color w:val="000000"/>
        </w:rPr>
        <w:t>5</w:t>
      </w:r>
      <w:r w:rsidRPr="00EE6905">
        <w:rPr>
          <w:color w:val="000000"/>
        </w:rPr>
        <w:t xml:space="preserve">; </w:t>
      </w:r>
      <w:r>
        <w:rPr>
          <w:color w:val="000000"/>
        </w:rPr>
        <w:tab/>
      </w:r>
      <w:r w:rsidRPr="00EE6905">
        <w:rPr>
          <w:color w:val="000000"/>
        </w:rPr>
        <w:t>Revised: 1</w:t>
      </w:r>
      <w:r>
        <w:rPr>
          <w:color w:val="000000"/>
        </w:rPr>
        <w:t>6</w:t>
      </w:r>
      <w:r w:rsidRPr="00EE6905">
        <w:rPr>
          <w:color w:val="000000"/>
        </w:rPr>
        <w:t>-</w:t>
      </w:r>
      <w:r>
        <w:rPr>
          <w:color w:val="000000"/>
        </w:rPr>
        <w:t>09</w:t>
      </w:r>
      <w:r w:rsidRPr="00EE6905">
        <w:rPr>
          <w:color w:val="000000"/>
        </w:rPr>
        <w:t>-202</w:t>
      </w:r>
      <w:r>
        <w:rPr>
          <w:color w:val="000000"/>
        </w:rPr>
        <w:t>5</w:t>
      </w:r>
      <w:r w:rsidRPr="00EE6905">
        <w:rPr>
          <w:color w:val="000000"/>
        </w:rPr>
        <w:t xml:space="preserve">; </w:t>
      </w:r>
      <w:r>
        <w:rPr>
          <w:color w:val="000000"/>
        </w:rPr>
        <w:tab/>
      </w:r>
      <w:r>
        <w:rPr>
          <w:color w:val="000000"/>
        </w:rPr>
        <w:tab/>
      </w:r>
      <w:r w:rsidRPr="00EE6905">
        <w:rPr>
          <w:color w:val="000000"/>
        </w:rPr>
        <w:t xml:space="preserve">Approved: </w:t>
      </w:r>
      <w:r>
        <w:rPr>
          <w:color w:val="000000"/>
        </w:rPr>
        <w:t>2</w:t>
      </w:r>
      <w:r w:rsidRPr="00EE6905">
        <w:rPr>
          <w:color w:val="000000"/>
        </w:rPr>
        <w:t>0-</w:t>
      </w:r>
      <w:r>
        <w:rPr>
          <w:color w:val="000000"/>
        </w:rPr>
        <w:t>09</w:t>
      </w:r>
      <w:r w:rsidRPr="00EE6905">
        <w:rPr>
          <w:color w:val="000000"/>
        </w:rPr>
        <w:t>-202</w:t>
      </w:r>
      <w:r>
        <w:rPr>
          <w:color w:val="000000"/>
        </w:rPr>
        <w:t>5</w:t>
      </w:r>
    </w:p>
    <w:p w14:paraId="6DD16712" w14:textId="77777777" w:rsidR="00223BE7" w:rsidRPr="00EE6905" w:rsidRDefault="00223BE7" w:rsidP="00EE6905">
      <w:pPr>
        <w:pBdr>
          <w:top w:val="nil"/>
          <w:left w:val="nil"/>
          <w:bottom w:val="nil"/>
          <w:right w:val="nil"/>
          <w:between w:val="nil"/>
        </w:pBdr>
        <w:spacing w:line="276" w:lineRule="auto"/>
        <w:jc w:val="both"/>
        <w:rPr>
          <w:b/>
          <w:color w:val="000000"/>
        </w:rPr>
      </w:pPr>
    </w:p>
    <w:p w14:paraId="156C0F5C" w14:textId="413C25A7" w:rsidR="00223BE7" w:rsidRPr="00EE6905" w:rsidRDefault="00A62DE5" w:rsidP="00EE6905">
      <w:pPr>
        <w:pBdr>
          <w:top w:val="nil"/>
          <w:left w:val="nil"/>
          <w:bottom w:val="nil"/>
          <w:right w:val="nil"/>
          <w:between w:val="nil"/>
        </w:pBdr>
        <w:spacing w:line="276" w:lineRule="auto"/>
        <w:jc w:val="both"/>
        <w:rPr>
          <w:color w:val="000000"/>
        </w:rPr>
      </w:pPr>
      <w:r w:rsidRPr="00EE6905">
        <w:rPr>
          <w:b/>
          <w:color w:val="000000"/>
        </w:rPr>
        <w:t>INTRODUCTION</w:t>
      </w:r>
      <w:r w:rsidRPr="00EE6905">
        <w:rPr>
          <w:color w:val="000000"/>
        </w:rPr>
        <w:t xml:space="preserve"> </w:t>
      </w:r>
    </w:p>
    <w:p w14:paraId="52DD6A07"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r w:rsidRPr="00D71614">
        <w:rPr>
          <w:color w:val="000000"/>
          <w:lang w:val="en-ID"/>
        </w:rPr>
        <w:t>Indonesia’s Minister of Maritime Affairs and Fisheries Regulation Number 7 of 2024 (</w:t>
      </w:r>
      <w:proofErr w:type="spellStart"/>
      <w:r w:rsidRPr="00D71614">
        <w:rPr>
          <w:color w:val="000000"/>
          <w:lang w:val="en-ID"/>
        </w:rPr>
        <w:t>Permen</w:t>
      </w:r>
      <w:proofErr w:type="spellEnd"/>
      <w:r w:rsidRPr="00D71614">
        <w:rPr>
          <w:color w:val="000000"/>
          <w:lang w:val="en-ID"/>
        </w:rPr>
        <w:t xml:space="preserve"> KKP No. 7/2024) has stirred heated debate across academic, governmental and civil society circles, due to its allowance for export of lobster seed (</w:t>
      </w:r>
      <w:proofErr w:type="spellStart"/>
      <w:r w:rsidRPr="00D71614">
        <w:rPr>
          <w:color w:val="000000"/>
          <w:lang w:val="en-ID"/>
        </w:rPr>
        <w:t>benih</w:t>
      </w:r>
      <w:proofErr w:type="spellEnd"/>
      <w:r w:rsidRPr="00D71614">
        <w:rPr>
          <w:color w:val="000000"/>
          <w:lang w:val="en-ID"/>
        </w:rPr>
        <w:t xml:space="preserve"> </w:t>
      </w:r>
      <w:proofErr w:type="spellStart"/>
      <w:r w:rsidRPr="00D71614">
        <w:rPr>
          <w:color w:val="000000"/>
          <w:lang w:val="en-ID"/>
        </w:rPr>
        <w:t>bening</w:t>
      </w:r>
      <w:proofErr w:type="spellEnd"/>
      <w:r w:rsidRPr="00D71614">
        <w:rPr>
          <w:color w:val="000000"/>
          <w:lang w:val="en-ID"/>
        </w:rPr>
        <w:t xml:space="preserve"> lobster, BBL) under joint venture schemes involving domestic and foreign entities. The regulation represents a sharp departure from prior policies that predominantly banned such exports in order to preserve lobster populations, support local aquaculture, and safeguard the welfare of small-scale fishers (Tanjung &amp; Hidayat, 2024; Andika &amp; </w:t>
      </w:r>
      <w:proofErr w:type="spellStart"/>
      <w:r w:rsidRPr="00D71614">
        <w:rPr>
          <w:color w:val="000000"/>
          <w:lang w:val="en-ID"/>
        </w:rPr>
        <w:t>Simabura</w:t>
      </w:r>
      <w:proofErr w:type="spellEnd"/>
      <w:r w:rsidRPr="00D71614">
        <w:rPr>
          <w:color w:val="000000"/>
          <w:lang w:val="en-ID"/>
        </w:rPr>
        <w:t>, 2024). Das Sein, the current state of matters, thus reflects a tension between economic incentives for exporters and preservation of marine biodiversity and equitable benefit sharing.</w:t>
      </w:r>
    </w:p>
    <w:p w14:paraId="1339671C"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r w:rsidRPr="00D71614">
        <w:rPr>
          <w:color w:val="000000"/>
          <w:lang w:val="en-ID"/>
        </w:rPr>
        <w:t xml:space="preserve">Data underscore the urgency of policy clarity. Enforcement operations throughout 2024 have led to the seizure and release back into local waters of approximately 6.44 million legal larvae or </w:t>
      </w:r>
      <w:proofErr w:type="spellStart"/>
      <w:r w:rsidRPr="00D71614">
        <w:rPr>
          <w:color w:val="000000"/>
          <w:lang w:val="en-ID"/>
        </w:rPr>
        <w:t>benur</w:t>
      </w:r>
      <w:proofErr w:type="spellEnd"/>
      <w:r w:rsidRPr="00D71614">
        <w:rPr>
          <w:color w:val="000000"/>
          <w:lang w:val="en-ID"/>
        </w:rPr>
        <w:t xml:space="preserve">, with an estimated economic value of IDR 849 billion. These interventions—44 operations across 16 different locations—highlight the scale of illegal </w:t>
      </w:r>
      <w:proofErr w:type="spellStart"/>
      <w:r w:rsidRPr="00D71614">
        <w:rPr>
          <w:color w:val="000000"/>
          <w:lang w:val="en-ID"/>
        </w:rPr>
        <w:t>benur</w:t>
      </w:r>
      <w:proofErr w:type="spellEnd"/>
      <w:r w:rsidRPr="00D71614">
        <w:rPr>
          <w:color w:val="000000"/>
          <w:lang w:val="en-ID"/>
        </w:rPr>
        <w:t xml:space="preserve"> trafficking (</w:t>
      </w:r>
      <w:proofErr w:type="spellStart"/>
      <w:r w:rsidRPr="00D71614">
        <w:rPr>
          <w:color w:val="000000"/>
          <w:lang w:val="en-ID"/>
        </w:rPr>
        <w:t>Direktorat</w:t>
      </w:r>
      <w:proofErr w:type="spellEnd"/>
      <w:r w:rsidRPr="00D71614">
        <w:rPr>
          <w:color w:val="000000"/>
          <w:lang w:val="en-ID"/>
        </w:rPr>
        <w:t xml:space="preserve"> </w:t>
      </w:r>
      <w:proofErr w:type="spellStart"/>
      <w:r w:rsidRPr="00D71614">
        <w:rPr>
          <w:color w:val="000000"/>
          <w:lang w:val="en-ID"/>
        </w:rPr>
        <w:t>Jenderal</w:t>
      </w:r>
      <w:proofErr w:type="spellEnd"/>
      <w:r w:rsidRPr="00D71614">
        <w:rPr>
          <w:color w:val="000000"/>
          <w:lang w:val="en-ID"/>
        </w:rPr>
        <w:t xml:space="preserve"> </w:t>
      </w:r>
      <w:proofErr w:type="spellStart"/>
      <w:r w:rsidRPr="00D71614">
        <w:rPr>
          <w:color w:val="000000"/>
          <w:lang w:val="en-ID"/>
        </w:rPr>
        <w:t>Pengawasan</w:t>
      </w:r>
      <w:proofErr w:type="spellEnd"/>
      <w:r w:rsidRPr="00D71614">
        <w:rPr>
          <w:color w:val="000000"/>
          <w:lang w:val="en-ID"/>
        </w:rPr>
        <w:t xml:space="preserve"> </w:t>
      </w:r>
      <w:proofErr w:type="spellStart"/>
      <w:r w:rsidRPr="00D71614">
        <w:rPr>
          <w:color w:val="000000"/>
          <w:lang w:val="en-ID"/>
        </w:rPr>
        <w:t>Sumber</w:t>
      </w:r>
      <w:proofErr w:type="spellEnd"/>
      <w:r w:rsidRPr="00D71614">
        <w:rPr>
          <w:color w:val="000000"/>
          <w:lang w:val="en-ID"/>
        </w:rPr>
        <w:t xml:space="preserve"> Daya </w:t>
      </w:r>
      <w:proofErr w:type="spellStart"/>
      <w:r w:rsidRPr="00D71614">
        <w:rPr>
          <w:color w:val="000000"/>
          <w:lang w:val="en-ID"/>
        </w:rPr>
        <w:t>Kelautan</w:t>
      </w:r>
      <w:proofErr w:type="spellEnd"/>
      <w:r w:rsidRPr="00D71614">
        <w:rPr>
          <w:color w:val="000000"/>
          <w:lang w:val="en-ID"/>
        </w:rPr>
        <w:t xml:space="preserve"> dan </w:t>
      </w:r>
      <w:proofErr w:type="spellStart"/>
      <w:r w:rsidRPr="00D71614">
        <w:rPr>
          <w:color w:val="000000"/>
          <w:lang w:val="en-ID"/>
        </w:rPr>
        <w:t>Perikanan</w:t>
      </w:r>
      <w:proofErr w:type="spellEnd"/>
      <w:r w:rsidRPr="00D71614">
        <w:rPr>
          <w:color w:val="000000"/>
          <w:lang w:val="en-ID"/>
        </w:rPr>
        <w:t xml:space="preserve"> [PSDKP] et al., 2024). Moreover, quantitative studies of </w:t>
      </w:r>
      <w:proofErr w:type="spellStart"/>
      <w:r w:rsidRPr="00D71614">
        <w:rPr>
          <w:color w:val="000000"/>
          <w:lang w:val="en-ID"/>
        </w:rPr>
        <w:t>benur</w:t>
      </w:r>
      <w:proofErr w:type="spellEnd"/>
      <w:r w:rsidRPr="00D71614">
        <w:rPr>
          <w:color w:val="000000"/>
          <w:lang w:val="en-ID"/>
        </w:rPr>
        <w:t xml:space="preserve"> smuggling covering 2018–2022 show that smuggling remains frequent, with the modes of smuggling including air transport, passenger luggage, shipment consignments, and using “customs loopholes” (</w:t>
      </w:r>
      <w:proofErr w:type="spellStart"/>
      <w:r w:rsidRPr="00D71614">
        <w:rPr>
          <w:color w:val="000000"/>
          <w:lang w:val="en-ID"/>
        </w:rPr>
        <w:t>Indradinata</w:t>
      </w:r>
      <w:proofErr w:type="spellEnd"/>
      <w:r w:rsidRPr="00D71614">
        <w:rPr>
          <w:color w:val="000000"/>
          <w:lang w:val="en-ID"/>
        </w:rPr>
        <w:t>, 2023). Such prevalence indicates weaknesses not only in enforcement but also in regulation design and implementation.</w:t>
      </w:r>
    </w:p>
    <w:p w14:paraId="1C356B79"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r w:rsidRPr="00D71614">
        <w:rPr>
          <w:color w:val="000000"/>
          <w:lang w:val="en-ID"/>
        </w:rPr>
        <w:t xml:space="preserve">From the perspective of das </w:t>
      </w:r>
      <w:proofErr w:type="spellStart"/>
      <w:r w:rsidRPr="00D71614">
        <w:rPr>
          <w:color w:val="000000"/>
          <w:lang w:val="en-ID"/>
        </w:rPr>
        <w:t>Sollen</w:t>
      </w:r>
      <w:proofErr w:type="spellEnd"/>
      <w:r w:rsidRPr="00D71614">
        <w:rPr>
          <w:color w:val="000000"/>
          <w:lang w:val="en-ID"/>
        </w:rPr>
        <w:t xml:space="preserve">, what ought to be the policy objective is clear from earlier academic and regulatory documents: ensure sustainability of lobster populations, protect local fisher livelihoods, prevent loss of state revenue, and promote </w:t>
      </w:r>
      <w:r w:rsidRPr="00D71614">
        <w:rPr>
          <w:color w:val="000000"/>
          <w:lang w:val="en-ID"/>
        </w:rPr>
        <w:lastRenderedPageBreak/>
        <w:t xml:space="preserve">sustainable aquaculture and economic development (Andika &amp; </w:t>
      </w:r>
      <w:proofErr w:type="spellStart"/>
      <w:r w:rsidRPr="00D71614">
        <w:rPr>
          <w:color w:val="000000"/>
          <w:lang w:val="en-ID"/>
        </w:rPr>
        <w:t>Simabura</w:t>
      </w:r>
      <w:proofErr w:type="spellEnd"/>
      <w:r w:rsidRPr="00D71614">
        <w:rPr>
          <w:color w:val="000000"/>
          <w:lang w:val="en-ID"/>
        </w:rPr>
        <w:t xml:space="preserve">, 2024; Tanjung &amp; Hidayat, 2024). Prior regulations such as </w:t>
      </w:r>
      <w:proofErr w:type="spellStart"/>
      <w:r w:rsidRPr="00D71614">
        <w:rPr>
          <w:color w:val="000000"/>
          <w:lang w:val="en-ID"/>
        </w:rPr>
        <w:t>Permen</w:t>
      </w:r>
      <w:proofErr w:type="spellEnd"/>
      <w:r w:rsidRPr="00D71614">
        <w:rPr>
          <w:color w:val="000000"/>
          <w:lang w:val="en-ID"/>
        </w:rPr>
        <w:t xml:space="preserve"> KP No. 1/2015, </w:t>
      </w:r>
      <w:proofErr w:type="spellStart"/>
      <w:r w:rsidRPr="00D71614">
        <w:rPr>
          <w:color w:val="000000"/>
          <w:lang w:val="en-ID"/>
        </w:rPr>
        <w:t>Permen</w:t>
      </w:r>
      <w:proofErr w:type="spellEnd"/>
      <w:r w:rsidRPr="00D71614">
        <w:rPr>
          <w:color w:val="000000"/>
          <w:lang w:val="en-ID"/>
        </w:rPr>
        <w:t xml:space="preserve"> KP No. 56/2016 and </w:t>
      </w:r>
      <w:proofErr w:type="spellStart"/>
      <w:r w:rsidRPr="00D71614">
        <w:rPr>
          <w:color w:val="000000"/>
          <w:lang w:val="en-ID"/>
        </w:rPr>
        <w:t>Permen</w:t>
      </w:r>
      <w:proofErr w:type="spellEnd"/>
      <w:r w:rsidRPr="00D71614">
        <w:rPr>
          <w:color w:val="000000"/>
          <w:lang w:val="en-ID"/>
        </w:rPr>
        <w:t xml:space="preserve"> KP No. 16/2022 generally prohibited export of lobster seeds, with the rationale centred on marine resource sustainability and preventing over-exploitation (Andika &amp; </w:t>
      </w:r>
      <w:proofErr w:type="spellStart"/>
      <w:r w:rsidRPr="00D71614">
        <w:rPr>
          <w:color w:val="000000"/>
          <w:lang w:val="en-ID"/>
        </w:rPr>
        <w:t>Simabura</w:t>
      </w:r>
      <w:proofErr w:type="spellEnd"/>
      <w:r w:rsidRPr="00D71614">
        <w:rPr>
          <w:color w:val="000000"/>
          <w:lang w:val="en-ID"/>
        </w:rPr>
        <w:t xml:space="preserve">, 2024). Under those laws, </w:t>
      </w:r>
      <w:proofErr w:type="spellStart"/>
      <w:r w:rsidRPr="00D71614">
        <w:rPr>
          <w:color w:val="000000"/>
          <w:lang w:val="en-ID"/>
        </w:rPr>
        <w:t>benur</w:t>
      </w:r>
      <w:proofErr w:type="spellEnd"/>
      <w:r w:rsidRPr="00D71614">
        <w:rPr>
          <w:color w:val="000000"/>
          <w:lang w:val="en-ID"/>
        </w:rPr>
        <w:t xml:space="preserve"> export was tightly regulated or banned, so that lobster seed could be used domestically for cultivation, thereby increasing value added locally, improving fisher incomes, and preserving wild stocks.</w:t>
      </w:r>
    </w:p>
    <w:p w14:paraId="4868D3AD"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proofErr w:type="spellStart"/>
      <w:r w:rsidRPr="00D71614">
        <w:rPr>
          <w:color w:val="000000"/>
          <w:lang w:val="en-ID"/>
        </w:rPr>
        <w:t>Permen</w:t>
      </w:r>
      <w:proofErr w:type="spellEnd"/>
      <w:r w:rsidRPr="00D71614">
        <w:rPr>
          <w:color w:val="000000"/>
          <w:lang w:val="en-ID"/>
        </w:rPr>
        <w:t xml:space="preserve"> No. 7/2024, however, modifies this status quo by allowing export under certain conditions — joint ventures, supervision through fish quarantine installations, and exit/entry point controls (Tanjung &amp; Hidayat, 2024; </w:t>
      </w:r>
      <w:proofErr w:type="spellStart"/>
      <w:r w:rsidRPr="00D71614">
        <w:rPr>
          <w:color w:val="000000"/>
          <w:lang w:val="en-ID"/>
        </w:rPr>
        <w:t>Indradinata</w:t>
      </w:r>
      <w:proofErr w:type="spellEnd"/>
      <w:r w:rsidRPr="00D71614">
        <w:rPr>
          <w:color w:val="000000"/>
          <w:lang w:val="en-ID"/>
        </w:rPr>
        <w:t xml:space="preserve">, 2023). While this regulation is perhaps meant to reconcile economic aims with resource management, early observations show that the implementation has not yet been adequate. For example, IPB University scholars have argued that smuggling remains high due to regulatory enforcement which is weak, including allowances or loopholes that opportunistic actors exploit (IPB, 2025) [summary of academic commentary]. Moreover, legal analysis suggests ambiguity in legal authority and procedural clarity, particularly regarding oversight, permit granting, and control of joint ventures (Tanjung &amp; Hidayat, 2024; Andika &amp; </w:t>
      </w:r>
      <w:proofErr w:type="spellStart"/>
      <w:r w:rsidRPr="00D71614">
        <w:rPr>
          <w:color w:val="000000"/>
          <w:lang w:val="en-ID"/>
        </w:rPr>
        <w:t>Simabura</w:t>
      </w:r>
      <w:proofErr w:type="spellEnd"/>
      <w:r w:rsidRPr="00D71614">
        <w:rPr>
          <w:color w:val="000000"/>
          <w:lang w:val="en-ID"/>
        </w:rPr>
        <w:t>, 2024).</w:t>
      </w:r>
    </w:p>
    <w:p w14:paraId="788D8210"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r w:rsidRPr="00D71614">
        <w:rPr>
          <w:color w:val="000000"/>
          <w:lang w:val="en-ID"/>
        </w:rPr>
        <w:t xml:space="preserve">The research gap emerges from the disconnect between what is prescribed under the regulation (das </w:t>
      </w:r>
      <w:proofErr w:type="spellStart"/>
      <w:r w:rsidRPr="00D71614">
        <w:rPr>
          <w:color w:val="000000"/>
          <w:lang w:val="en-ID"/>
        </w:rPr>
        <w:t>Sollen</w:t>
      </w:r>
      <w:proofErr w:type="spellEnd"/>
      <w:r w:rsidRPr="00D71614">
        <w:rPr>
          <w:color w:val="000000"/>
          <w:lang w:val="en-ID"/>
        </w:rPr>
        <w:t xml:space="preserve">) and what is observed in enforcement and outcomes (das Sein). Although regulation No. 7 is designed to allow BBL export in limited, supervised conditions, the frequency of smuggling, the scale of seized </w:t>
      </w:r>
      <w:proofErr w:type="spellStart"/>
      <w:r w:rsidRPr="00D71614">
        <w:rPr>
          <w:color w:val="000000"/>
          <w:lang w:val="en-ID"/>
        </w:rPr>
        <w:t>benur</w:t>
      </w:r>
      <w:proofErr w:type="spellEnd"/>
      <w:r w:rsidRPr="00D71614">
        <w:rPr>
          <w:color w:val="000000"/>
          <w:lang w:val="en-ID"/>
        </w:rPr>
        <w:t xml:space="preserve">, and the economic value lost imply that there are deficiencies in forecasting, risk assessment, and enforcement resource allocation. No published peer-reviewed study to date has systematically applied forecasting methods to project the likely trajectories of </w:t>
      </w:r>
      <w:proofErr w:type="spellStart"/>
      <w:r w:rsidRPr="00D71614">
        <w:rPr>
          <w:color w:val="000000"/>
          <w:lang w:val="en-ID"/>
        </w:rPr>
        <w:t>benur</w:t>
      </w:r>
      <w:proofErr w:type="spellEnd"/>
      <w:r w:rsidRPr="00D71614">
        <w:rPr>
          <w:color w:val="000000"/>
          <w:lang w:val="en-ID"/>
        </w:rPr>
        <w:t xml:space="preserve"> smuggling under varied policy scenarios, nor have there been predictive models combining enforcement data, biological stock data, and socio-economic variables to forecast stock depletion or illicit trafficking under </w:t>
      </w:r>
      <w:proofErr w:type="spellStart"/>
      <w:r w:rsidRPr="00D71614">
        <w:rPr>
          <w:color w:val="000000"/>
          <w:lang w:val="en-ID"/>
        </w:rPr>
        <w:t>Permen</w:t>
      </w:r>
      <w:proofErr w:type="spellEnd"/>
      <w:r w:rsidRPr="00D71614">
        <w:rPr>
          <w:color w:val="000000"/>
          <w:lang w:val="en-ID"/>
        </w:rPr>
        <w:t xml:space="preserve"> 7’s implementation. In sum, although many legal analyses exist (e.g. Tanjung &amp; Hidayat, 2024; </w:t>
      </w:r>
      <w:proofErr w:type="spellStart"/>
      <w:r w:rsidRPr="00D71614">
        <w:rPr>
          <w:color w:val="000000"/>
          <w:lang w:val="en-ID"/>
        </w:rPr>
        <w:t>Indradinata</w:t>
      </w:r>
      <w:proofErr w:type="spellEnd"/>
      <w:r w:rsidRPr="00D71614">
        <w:rPr>
          <w:color w:val="000000"/>
          <w:lang w:val="en-ID"/>
        </w:rPr>
        <w:t>, 2023), little empirical research addresses future risks in a data-driven way with scenario analysis or early warning systems.</w:t>
      </w:r>
    </w:p>
    <w:p w14:paraId="67C3A76E"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r w:rsidRPr="00D71614">
        <w:rPr>
          <w:color w:val="000000"/>
          <w:lang w:val="en-ID"/>
        </w:rPr>
        <w:t xml:space="preserve">Furthermore, there is scarce research quantifying how changes permitted by </w:t>
      </w:r>
      <w:proofErr w:type="spellStart"/>
      <w:r w:rsidRPr="00D71614">
        <w:rPr>
          <w:color w:val="000000"/>
          <w:lang w:val="en-ID"/>
        </w:rPr>
        <w:t>Permen</w:t>
      </w:r>
      <w:proofErr w:type="spellEnd"/>
      <w:r w:rsidRPr="00D71614">
        <w:rPr>
          <w:color w:val="000000"/>
          <w:lang w:val="en-ID"/>
        </w:rPr>
        <w:t xml:space="preserve"> 7 impact small-scale fishers’ income, lobster juveniles’ survival, or long-term biodiversity outcomes. The literature has established that </w:t>
      </w:r>
      <w:proofErr w:type="spellStart"/>
      <w:r w:rsidRPr="00D71614">
        <w:rPr>
          <w:color w:val="000000"/>
          <w:lang w:val="en-ID"/>
        </w:rPr>
        <w:t>benur</w:t>
      </w:r>
      <w:proofErr w:type="spellEnd"/>
      <w:r w:rsidRPr="00D71614">
        <w:rPr>
          <w:color w:val="000000"/>
          <w:lang w:val="en-ID"/>
        </w:rPr>
        <w:t xml:space="preserve"> smuggling uses Indonesian airports and sea routes heavily (</w:t>
      </w:r>
      <w:proofErr w:type="spellStart"/>
      <w:r w:rsidRPr="00D71614">
        <w:rPr>
          <w:color w:val="000000"/>
          <w:lang w:val="en-ID"/>
        </w:rPr>
        <w:t>Indradinata</w:t>
      </w:r>
      <w:proofErr w:type="spellEnd"/>
      <w:r w:rsidRPr="00D71614">
        <w:rPr>
          <w:color w:val="000000"/>
          <w:lang w:val="en-ID"/>
        </w:rPr>
        <w:t xml:space="preserve">, 2023), that economic pressures on fishers encourage catching wild </w:t>
      </w:r>
      <w:proofErr w:type="spellStart"/>
      <w:r w:rsidRPr="00D71614">
        <w:rPr>
          <w:color w:val="000000"/>
          <w:lang w:val="en-ID"/>
        </w:rPr>
        <w:t>pueruli</w:t>
      </w:r>
      <w:proofErr w:type="spellEnd"/>
      <w:r w:rsidRPr="00D71614">
        <w:rPr>
          <w:color w:val="000000"/>
          <w:lang w:val="en-ID"/>
        </w:rPr>
        <w:t>, and that enforcement is uneven at geographic hotspots (Batam, Hang Nadim, etc.) (</w:t>
      </w:r>
      <w:proofErr w:type="spellStart"/>
      <w:r w:rsidRPr="00D71614">
        <w:rPr>
          <w:color w:val="000000"/>
          <w:lang w:val="en-ID"/>
        </w:rPr>
        <w:t>Padrisan</w:t>
      </w:r>
      <w:proofErr w:type="spellEnd"/>
      <w:r w:rsidRPr="00D71614">
        <w:rPr>
          <w:color w:val="000000"/>
          <w:lang w:val="en-ID"/>
        </w:rPr>
        <w:t xml:space="preserve"> &amp; Arman, 2025). However, there is insufficient projection regarding how enforcement strength, or lack thereof, coupled with export allowances, may lead to stock decline in certain regions, or exacerbate illegal trade.</w:t>
      </w:r>
    </w:p>
    <w:p w14:paraId="57FB1E78"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r w:rsidRPr="00D71614">
        <w:rPr>
          <w:color w:val="000000"/>
          <w:lang w:val="en-ID"/>
        </w:rPr>
        <w:t xml:space="preserve">Thus, this study is motivated to fill that gap: to develop forecasting-based policy recommendations that anticipate the threats posed by </w:t>
      </w:r>
      <w:proofErr w:type="spellStart"/>
      <w:r w:rsidRPr="00D71614">
        <w:rPr>
          <w:color w:val="000000"/>
          <w:lang w:val="en-ID"/>
        </w:rPr>
        <w:t>Permen</w:t>
      </w:r>
      <w:proofErr w:type="spellEnd"/>
      <w:r w:rsidRPr="00D71614">
        <w:rPr>
          <w:color w:val="000000"/>
          <w:lang w:val="en-ID"/>
        </w:rPr>
        <w:t xml:space="preserve"> KKP No. 7/2024, especially concerning </w:t>
      </w:r>
      <w:proofErr w:type="spellStart"/>
      <w:r w:rsidRPr="00D71614">
        <w:rPr>
          <w:color w:val="000000"/>
          <w:lang w:val="en-ID"/>
        </w:rPr>
        <w:t>maraknya</w:t>
      </w:r>
      <w:proofErr w:type="spellEnd"/>
      <w:r w:rsidRPr="00D71614">
        <w:rPr>
          <w:color w:val="000000"/>
          <w:lang w:val="en-ID"/>
        </w:rPr>
        <w:t xml:space="preserve"> </w:t>
      </w:r>
      <w:proofErr w:type="spellStart"/>
      <w:r w:rsidRPr="00D71614">
        <w:rPr>
          <w:color w:val="000000"/>
          <w:lang w:val="en-ID"/>
        </w:rPr>
        <w:t>penyelundupan</w:t>
      </w:r>
      <w:proofErr w:type="spellEnd"/>
      <w:r w:rsidRPr="00D71614">
        <w:rPr>
          <w:color w:val="000000"/>
          <w:lang w:val="en-ID"/>
        </w:rPr>
        <w:t xml:space="preserve"> </w:t>
      </w:r>
      <w:proofErr w:type="spellStart"/>
      <w:r w:rsidRPr="00D71614">
        <w:rPr>
          <w:color w:val="000000"/>
          <w:lang w:val="en-ID"/>
        </w:rPr>
        <w:t>benur</w:t>
      </w:r>
      <w:proofErr w:type="spellEnd"/>
      <w:r w:rsidRPr="00D71614">
        <w:rPr>
          <w:color w:val="000000"/>
          <w:lang w:val="en-ID"/>
        </w:rPr>
        <w:t xml:space="preserve"> (the widespread smuggling of lobster seed). By combining time series data on seizures, enforcement actions, biological stock </w:t>
      </w:r>
      <w:r w:rsidRPr="00D71614">
        <w:rPr>
          <w:color w:val="000000"/>
          <w:lang w:val="en-ID"/>
        </w:rPr>
        <w:lastRenderedPageBreak/>
        <w:t>assessments, and stakeholder economic data, the aim is to anticipate likely future scenarios under various levels of enforcement and policy stringency. Doing so will inform policymakers about what interventions may be necessary to align implementation with sustainability goals, to avoid further exploitation, biodiversity loss, or unfair economic outcomes for local fishers.</w:t>
      </w:r>
    </w:p>
    <w:p w14:paraId="57CCD6EE" w14:textId="77777777" w:rsidR="00D71614" w:rsidRPr="00D71614" w:rsidRDefault="00D71614" w:rsidP="00D71614">
      <w:pPr>
        <w:pBdr>
          <w:top w:val="nil"/>
          <w:left w:val="nil"/>
          <w:bottom w:val="nil"/>
          <w:right w:val="nil"/>
          <w:between w:val="nil"/>
        </w:pBdr>
        <w:spacing w:line="276" w:lineRule="auto"/>
        <w:ind w:firstLine="709"/>
        <w:jc w:val="both"/>
        <w:rPr>
          <w:color w:val="000000"/>
          <w:lang w:val="en-ID"/>
        </w:rPr>
      </w:pPr>
      <w:r w:rsidRPr="00D71614">
        <w:rPr>
          <w:color w:val="000000"/>
          <w:lang w:val="en-ID"/>
        </w:rPr>
        <w:t xml:space="preserve">In conclusion, the background shows (das Sein) that while regulation permits certain export under supervision, smuggling remains rampant, economic losses are large, and biological risks are growing. What should be (das </w:t>
      </w:r>
      <w:proofErr w:type="spellStart"/>
      <w:r w:rsidRPr="00D71614">
        <w:rPr>
          <w:color w:val="000000"/>
          <w:lang w:val="en-ID"/>
        </w:rPr>
        <w:t>Sollen</w:t>
      </w:r>
      <w:proofErr w:type="spellEnd"/>
      <w:r w:rsidRPr="00D71614">
        <w:rPr>
          <w:color w:val="000000"/>
          <w:lang w:val="en-ID"/>
        </w:rPr>
        <w:t>) is a policy landscape in which sustainability, enforcement, and welfare are balanced; the regulation should ensure protection of wild lobster populations and equitable benefits for local fishers, reduce smuggling, and maintain Indonesia’s marine biodiversity. The existing gap is that predictive, forecasting-based policy analysis is missing in the literature, which this research seeks to address.</w:t>
      </w:r>
    </w:p>
    <w:p w14:paraId="166CBA38" w14:textId="77777777" w:rsidR="00231B61" w:rsidRPr="00D71614" w:rsidRDefault="00231B61" w:rsidP="00EE6905">
      <w:pPr>
        <w:pBdr>
          <w:top w:val="nil"/>
          <w:left w:val="nil"/>
          <w:bottom w:val="nil"/>
          <w:right w:val="nil"/>
          <w:between w:val="nil"/>
        </w:pBdr>
        <w:spacing w:line="276" w:lineRule="auto"/>
        <w:jc w:val="both"/>
        <w:rPr>
          <w:color w:val="000000"/>
        </w:rPr>
      </w:pPr>
    </w:p>
    <w:p w14:paraId="0F0091EA" w14:textId="5BCAFEA4" w:rsidR="00223BE7" w:rsidRPr="00EE6905" w:rsidRDefault="00A62DE5" w:rsidP="00EE6905">
      <w:pPr>
        <w:pBdr>
          <w:top w:val="nil"/>
          <w:left w:val="nil"/>
          <w:bottom w:val="nil"/>
          <w:right w:val="nil"/>
          <w:between w:val="nil"/>
        </w:pBdr>
        <w:spacing w:line="276" w:lineRule="auto"/>
        <w:jc w:val="both"/>
        <w:rPr>
          <w:color w:val="000000"/>
        </w:rPr>
      </w:pPr>
      <w:r w:rsidRPr="00EE6905">
        <w:rPr>
          <w:b/>
          <w:color w:val="000000"/>
        </w:rPr>
        <w:t>RESEARCH METHODS</w:t>
      </w:r>
      <w:r w:rsidRPr="00EE6905">
        <w:rPr>
          <w:color w:val="000000"/>
        </w:rPr>
        <w:t xml:space="preserve"> </w:t>
      </w:r>
    </w:p>
    <w:p w14:paraId="2BE98E57" w14:textId="77777777" w:rsidR="006B57A4" w:rsidRPr="006B57A4" w:rsidRDefault="006B57A4" w:rsidP="00413071">
      <w:pPr>
        <w:pBdr>
          <w:top w:val="nil"/>
          <w:left w:val="nil"/>
          <w:bottom w:val="nil"/>
          <w:right w:val="nil"/>
          <w:between w:val="nil"/>
        </w:pBdr>
        <w:spacing w:line="276" w:lineRule="auto"/>
        <w:ind w:firstLine="709"/>
        <w:jc w:val="both"/>
        <w:rPr>
          <w:color w:val="000000"/>
          <w:lang w:val="en-ID"/>
        </w:rPr>
      </w:pPr>
      <w:r w:rsidRPr="006B57A4">
        <w:rPr>
          <w:color w:val="000000"/>
          <w:lang w:val="en-ID"/>
        </w:rPr>
        <w:t>The methodological framework of this study employs a forecasting-based policy analysis approach to anticipate the risks associated with the implementation of Ministry of Marine Affairs and Fisheries Regulation (</w:t>
      </w:r>
      <w:proofErr w:type="spellStart"/>
      <w:r w:rsidRPr="006B57A4">
        <w:rPr>
          <w:color w:val="000000"/>
          <w:lang w:val="en-ID"/>
        </w:rPr>
        <w:t>Permen</w:t>
      </w:r>
      <w:proofErr w:type="spellEnd"/>
      <w:r w:rsidRPr="006B57A4">
        <w:rPr>
          <w:color w:val="000000"/>
          <w:lang w:val="en-ID"/>
        </w:rPr>
        <w:t xml:space="preserve"> KKP) No. 7 of 2024 and its unintended consequence of escalating lobster seed (</w:t>
      </w:r>
      <w:proofErr w:type="spellStart"/>
      <w:r w:rsidRPr="006B57A4">
        <w:rPr>
          <w:color w:val="000000"/>
          <w:lang w:val="en-ID"/>
        </w:rPr>
        <w:t>benur</w:t>
      </w:r>
      <w:proofErr w:type="spellEnd"/>
      <w:r w:rsidRPr="006B57A4">
        <w:rPr>
          <w:color w:val="000000"/>
          <w:lang w:val="en-ID"/>
        </w:rPr>
        <w:t>) smuggling. Forecasting methods in policy studies allow researchers to identify potential future scenarios, assess risks, and provide evidence-based recommendations (</w:t>
      </w:r>
      <w:proofErr w:type="spellStart"/>
      <w:r w:rsidRPr="006B57A4">
        <w:rPr>
          <w:color w:val="000000"/>
          <w:lang w:val="en-ID"/>
        </w:rPr>
        <w:t>Makridakis</w:t>
      </w:r>
      <w:proofErr w:type="spellEnd"/>
      <w:r w:rsidRPr="006B57A4">
        <w:rPr>
          <w:color w:val="000000"/>
          <w:lang w:val="en-ID"/>
        </w:rPr>
        <w:t xml:space="preserve"> et al., 2020). This research uses a qualitative-quantitative mixed method, combining trend analysis, Delphi method, and scenario building to examine smuggling patterns, enforcement gaps, and projected threats under the new regulation. The design ensures that both empirical data (das sein) and normative policy expectations (das </w:t>
      </w:r>
      <w:proofErr w:type="spellStart"/>
      <w:r w:rsidRPr="006B57A4">
        <w:rPr>
          <w:color w:val="000000"/>
          <w:lang w:val="en-ID"/>
        </w:rPr>
        <w:t>sollen</w:t>
      </w:r>
      <w:proofErr w:type="spellEnd"/>
      <w:r w:rsidRPr="006B57A4">
        <w:rPr>
          <w:color w:val="000000"/>
          <w:lang w:val="en-ID"/>
        </w:rPr>
        <w:t>) are integrated into a structured foresight framework.</w:t>
      </w:r>
    </w:p>
    <w:p w14:paraId="3A066570" w14:textId="77777777" w:rsidR="006B57A4" w:rsidRPr="006B57A4" w:rsidRDefault="006B57A4" w:rsidP="00413071">
      <w:pPr>
        <w:pBdr>
          <w:top w:val="nil"/>
          <w:left w:val="nil"/>
          <w:bottom w:val="nil"/>
          <w:right w:val="nil"/>
          <w:between w:val="nil"/>
        </w:pBdr>
        <w:spacing w:line="276" w:lineRule="auto"/>
        <w:ind w:firstLine="709"/>
        <w:jc w:val="both"/>
        <w:rPr>
          <w:color w:val="000000"/>
          <w:lang w:val="en-ID"/>
        </w:rPr>
      </w:pPr>
      <w:r w:rsidRPr="006B57A4">
        <w:rPr>
          <w:color w:val="000000"/>
          <w:lang w:val="en-ID"/>
        </w:rPr>
        <w:t>To ensure validity, triangulation was applied by cross-checking secondary data from government reports, academic journals, and media investigations with expert interviews involving fisheries policymakers, maritime security officers, and industry stakeholders (Creswell &amp; Plano Clark, 2018). Reliability is strengthened by adopting consistent forecasting parameters across multiple iterations of analysis, particularly in the Delphi rounds, where consensus among experts was measured and validated through Kendall’s W coefficient (Hsu &amp; Sandford, 2007). These procedures ensure that the outcomes are both dependable and applicable for practical policymaking.</w:t>
      </w:r>
    </w:p>
    <w:p w14:paraId="226E5E9E" w14:textId="77777777" w:rsidR="006B57A4" w:rsidRPr="006B57A4" w:rsidRDefault="006B57A4" w:rsidP="00413071">
      <w:pPr>
        <w:pBdr>
          <w:top w:val="nil"/>
          <w:left w:val="nil"/>
          <w:bottom w:val="nil"/>
          <w:right w:val="nil"/>
          <w:between w:val="nil"/>
        </w:pBdr>
        <w:spacing w:line="276" w:lineRule="auto"/>
        <w:ind w:firstLine="709"/>
        <w:jc w:val="both"/>
        <w:rPr>
          <w:color w:val="000000"/>
          <w:lang w:val="en-ID"/>
        </w:rPr>
      </w:pPr>
      <w:r w:rsidRPr="006B57A4">
        <w:rPr>
          <w:color w:val="000000"/>
          <w:lang w:val="en-ID"/>
        </w:rPr>
        <w:t xml:space="preserve">The research progresses through four key stages: (1) Data Collection, involving the gathering of historical smuggling cases, export-import statistics, and law enforcement records related to lobster seeds; (2) Trend and Pattern Analysis, using time series techniques to identify fluctuations in smuggling before and after regulatory changes; (3) Expert Forecasting and Scenario Building, applying Delphi surveys to predict the possible escalation of smuggling activities and their modus operandi under different enforcement conditions; and (4) Policy Formulation, where scenario-based recommendations are </w:t>
      </w:r>
      <w:r w:rsidRPr="006B57A4">
        <w:rPr>
          <w:color w:val="000000"/>
          <w:lang w:val="en-ID"/>
        </w:rPr>
        <w:lastRenderedPageBreak/>
        <w:t>structured to anticipate and mitigate identified risks. This structured progression allows a systematic bridge between present realities and future uncertainties.</w:t>
      </w:r>
    </w:p>
    <w:p w14:paraId="7F30A092" w14:textId="77777777" w:rsidR="006B57A4" w:rsidRPr="006B57A4" w:rsidRDefault="006B57A4" w:rsidP="00413071">
      <w:pPr>
        <w:pBdr>
          <w:top w:val="nil"/>
          <w:left w:val="nil"/>
          <w:bottom w:val="nil"/>
          <w:right w:val="nil"/>
          <w:between w:val="nil"/>
        </w:pBdr>
        <w:spacing w:line="276" w:lineRule="auto"/>
        <w:ind w:firstLine="709"/>
        <w:jc w:val="both"/>
        <w:rPr>
          <w:color w:val="000000"/>
          <w:lang w:val="en-ID"/>
        </w:rPr>
      </w:pPr>
      <w:r w:rsidRPr="006B57A4">
        <w:rPr>
          <w:color w:val="000000"/>
          <w:lang w:val="en-ID"/>
        </w:rPr>
        <w:t xml:space="preserve">The key variables in this study are divided into dependent and independent categories. The dependent variable is the level of </w:t>
      </w:r>
      <w:proofErr w:type="spellStart"/>
      <w:r w:rsidRPr="006B57A4">
        <w:rPr>
          <w:color w:val="000000"/>
          <w:lang w:val="en-ID"/>
        </w:rPr>
        <w:t>benur</w:t>
      </w:r>
      <w:proofErr w:type="spellEnd"/>
      <w:r w:rsidRPr="006B57A4">
        <w:rPr>
          <w:color w:val="000000"/>
          <w:lang w:val="en-ID"/>
        </w:rPr>
        <w:t xml:space="preserve"> smuggling activity (measured by frequency, volume, and geographic spread). Independent variables include regulatory stringency of </w:t>
      </w:r>
      <w:proofErr w:type="spellStart"/>
      <w:r w:rsidRPr="006B57A4">
        <w:rPr>
          <w:color w:val="000000"/>
          <w:lang w:val="en-ID"/>
        </w:rPr>
        <w:t>Permen</w:t>
      </w:r>
      <w:proofErr w:type="spellEnd"/>
      <w:r w:rsidRPr="006B57A4">
        <w:rPr>
          <w:color w:val="000000"/>
          <w:lang w:val="en-ID"/>
        </w:rPr>
        <w:t xml:space="preserve"> KKP No. 7/2024, law enforcement effectiveness, market demand dynamics (domestic and international), and interagency coordination in maritime security. Control variables such as geographic accessibility of smuggling routes and socio-economic conditions of coastal communities are also considered, as they influence the resilience of illegal supply chains (Eide &amp; </w:t>
      </w:r>
      <w:proofErr w:type="spellStart"/>
      <w:r w:rsidRPr="006B57A4">
        <w:rPr>
          <w:color w:val="000000"/>
          <w:lang w:val="en-ID"/>
        </w:rPr>
        <w:t>Skonhoft</w:t>
      </w:r>
      <w:proofErr w:type="spellEnd"/>
      <w:r w:rsidRPr="006B57A4">
        <w:rPr>
          <w:color w:val="000000"/>
          <w:lang w:val="en-ID"/>
        </w:rPr>
        <w:t>, 2020).</w:t>
      </w:r>
    </w:p>
    <w:p w14:paraId="078D04B1" w14:textId="77777777" w:rsidR="006B57A4" w:rsidRPr="006B57A4" w:rsidRDefault="006B57A4" w:rsidP="00413071">
      <w:pPr>
        <w:pBdr>
          <w:top w:val="nil"/>
          <w:left w:val="nil"/>
          <w:bottom w:val="nil"/>
          <w:right w:val="nil"/>
          <w:between w:val="nil"/>
        </w:pBdr>
        <w:spacing w:line="276" w:lineRule="auto"/>
        <w:ind w:firstLine="709"/>
        <w:jc w:val="both"/>
        <w:rPr>
          <w:color w:val="000000"/>
          <w:lang w:val="en-ID"/>
        </w:rPr>
      </w:pPr>
      <w:r w:rsidRPr="006B57A4">
        <w:rPr>
          <w:color w:val="000000"/>
          <w:lang w:val="en-ID"/>
        </w:rPr>
        <w:t>By combining forecasting models, scenario analysis, and stakeholder validation, this research aims to fill the gap (research gap) in existing literature that has largely examined fisheries regulation retrospectively rather than prospectively. The novelty lies in positioning forecasting as a preventive instrument to anticipate criminal adaptations to regulatory frameworks, particularly in Indonesia’s complex maritime governance context. The methodological rigor, coupled with strong validity and reliability checks, ensures that the study contributes not only to academic discourse but also to practical national security and sustainability policies.</w:t>
      </w:r>
    </w:p>
    <w:p w14:paraId="140081BE" w14:textId="77777777" w:rsidR="00C43C83" w:rsidRPr="00EE6905" w:rsidRDefault="00C43C83" w:rsidP="00EE6905">
      <w:pPr>
        <w:pBdr>
          <w:top w:val="nil"/>
          <w:left w:val="nil"/>
          <w:bottom w:val="nil"/>
          <w:right w:val="nil"/>
          <w:between w:val="nil"/>
        </w:pBdr>
        <w:spacing w:line="276" w:lineRule="auto"/>
        <w:jc w:val="both"/>
        <w:rPr>
          <w:b/>
          <w:color w:val="000000"/>
        </w:rPr>
      </w:pPr>
    </w:p>
    <w:p w14:paraId="0F5FA28C" w14:textId="335964FD" w:rsidR="00223BE7" w:rsidRDefault="00A62DE5" w:rsidP="00EE6905">
      <w:pPr>
        <w:pBdr>
          <w:top w:val="nil"/>
          <w:left w:val="nil"/>
          <w:bottom w:val="nil"/>
          <w:right w:val="nil"/>
          <w:between w:val="nil"/>
        </w:pBdr>
        <w:spacing w:line="276" w:lineRule="auto"/>
        <w:jc w:val="both"/>
        <w:rPr>
          <w:color w:val="000000"/>
        </w:rPr>
      </w:pPr>
      <w:r w:rsidRPr="00EE6905">
        <w:rPr>
          <w:b/>
          <w:color w:val="000000"/>
        </w:rPr>
        <w:t>RESULTS AND DISCUSSION</w:t>
      </w:r>
      <w:r w:rsidRPr="00EE6905">
        <w:rPr>
          <w:color w:val="000000"/>
        </w:rPr>
        <w:t xml:space="preserve"> </w:t>
      </w:r>
    </w:p>
    <w:p w14:paraId="047A5696"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1. Step 1: Define Base Data and Assumptions</w:t>
      </w:r>
    </w:p>
    <w:p w14:paraId="6458684B" w14:textId="52A69FC2" w:rsidR="00886B4B" w:rsidRPr="00886B4B" w:rsidRDefault="00413071" w:rsidP="00413071">
      <w:pPr>
        <w:pBdr>
          <w:top w:val="nil"/>
          <w:left w:val="nil"/>
          <w:bottom w:val="nil"/>
          <w:right w:val="nil"/>
          <w:between w:val="nil"/>
        </w:pBdr>
        <w:spacing w:line="276" w:lineRule="auto"/>
        <w:jc w:val="center"/>
        <w:rPr>
          <w:b/>
          <w:bCs/>
          <w:color w:val="000000"/>
          <w:lang w:val="en-ID"/>
        </w:rPr>
      </w:pPr>
      <w:r w:rsidRPr="00413071">
        <w:rPr>
          <w:b/>
          <w:bCs/>
          <w:color w:val="000000"/>
          <w:lang w:val="en-ID"/>
        </w:rPr>
        <w:t xml:space="preserve">Table </w:t>
      </w:r>
      <w:r w:rsidRPr="00886B4B">
        <w:rPr>
          <w:b/>
          <w:bCs/>
          <w:color w:val="000000"/>
          <w:lang w:val="en-ID"/>
        </w:rPr>
        <w:t>1</w:t>
      </w:r>
      <w:r w:rsidRPr="00413071">
        <w:rPr>
          <w:b/>
          <w:bCs/>
          <w:color w:val="000000"/>
          <w:lang w:val="en-ID"/>
        </w:rPr>
        <w:t xml:space="preserve"> </w:t>
      </w:r>
      <w:r w:rsidR="00886B4B" w:rsidRPr="00886B4B">
        <w:rPr>
          <w:b/>
          <w:bCs/>
          <w:color w:val="000000"/>
          <w:lang w:val="en-ID"/>
        </w:rPr>
        <w:t xml:space="preserve">Historical </w:t>
      </w:r>
      <w:proofErr w:type="spellStart"/>
      <w:r w:rsidR="00886B4B" w:rsidRPr="00886B4B">
        <w:rPr>
          <w:b/>
          <w:bCs/>
          <w:color w:val="000000"/>
          <w:lang w:val="en-ID"/>
        </w:rPr>
        <w:t>benur</w:t>
      </w:r>
      <w:proofErr w:type="spellEnd"/>
      <w:r w:rsidR="00886B4B" w:rsidRPr="00886B4B">
        <w:rPr>
          <w:b/>
          <w:bCs/>
          <w:color w:val="000000"/>
          <w:lang w:val="en-ID"/>
        </w:rPr>
        <w:t xml:space="preserve"> smuggling volume (million units):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
        <w:gridCol w:w="2402"/>
      </w:tblGrid>
      <w:tr w:rsidR="00886B4B" w:rsidRPr="00886B4B" w14:paraId="5C0DBD82" w14:textId="77777777" w:rsidTr="00413071">
        <w:trPr>
          <w:tblHeader/>
          <w:tblCellSpacing w:w="15" w:type="dxa"/>
          <w:jc w:val="center"/>
        </w:trPr>
        <w:tc>
          <w:tcPr>
            <w:tcW w:w="0" w:type="auto"/>
            <w:vAlign w:val="center"/>
            <w:hideMark/>
          </w:tcPr>
          <w:p w14:paraId="2EA6011B"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Year</w:t>
            </w:r>
          </w:p>
        </w:tc>
        <w:tc>
          <w:tcPr>
            <w:tcW w:w="0" w:type="auto"/>
            <w:vAlign w:val="center"/>
            <w:hideMark/>
          </w:tcPr>
          <w:p w14:paraId="318525F4"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Volume (million units)</w:t>
            </w:r>
          </w:p>
        </w:tc>
      </w:tr>
      <w:tr w:rsidR="00886B4B" w:rsidRPr="00886B4B" w14:paraId="790E4BE5" w14:textId="77777777" w:rsidTr="00413071">
        <w:trPr>
          <w:tblCellSpacing w:w="15" w:type="dxa"/>
          <w:jc w:val="center"/>
        </w:trPr>
        <w:tc>
          <w:tcPr>
            <w:tcW w:w="0" w:type="auto"/>
            <w:vAlign w:val="center"/>
            <w:hideMark/>
          </w:tcPr>
          <w:p w14:paraId="162C0317"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2020</w:t>
            </w:r>
          </w:p>
        </w:tc>
        <w:tc>
          <w:tcPr>
            <w:tcW w:w="0" w:type="auto"/>
            <w:vAlign w:val="center"/>
            <w:hideMark/>
          </w:tcPr>
          <w:p w14:paraId="317F3B2F"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15</w:t>
            </w:r>
          </w:p>
        </w:tc>
      </w:tr>
      <w:tr w:rsidR="00886B4B" w:rsidRPr="00886B4B" w14:paraId="25FF0959" w14:textId="77777777" w:rsidTr="00413071">
        <w:trPr>
          <w:tblCellSpacing w:w="15" w:type="dxa"/>
          <w:jc w:val="center"/>
        </w:trPr>
        <w:tc>
          <w:tcPr>
            <w:tcW w:w="0" w:type="auto"/>
            <w:vAlign w:val="center"/>
            <w:hideMark/>
          </w:tcPr>
          <w:p w14:paraId="34827785"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2021</w:t>
            </w:r>
          </w:p>
        </w:tc>
        <w:tc>
          <w:tcPr>
            <w:tcW w:w="0" w:type="auto"/>
            <w:vAlign w:val="center"/>
            <w:hideMark/>
          </w:tcPr>
          <w:p w14:paraId="0C2FEF61"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18</w:t>
            </w:r>
          </w:p>
        </w:tc>
      </w:tr>
      <w:tr w:rsidR="00886B4B" w:rsidRPr="00886B4B" w14:paraId="47EDE0F0" w14:textId="77777777" w:rsidTr="00413071">
        <w:trPr>
          <w:tblCellSpacing w:w="15" w:type="dxa"/>
          <w:jc w:val="center"/>
        </w:trPr>
        <w:tc>
          <w:tcPr>
            <w:tcW w:w="0" w:type="auto"/>
            <w:vAlign w:val="center"/>
            <w:hideMark/>
          </w:tcPr>
          <w:p w14:paraId="44165C25"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2022</w:t>
            </w:r>
          </w:p>
        </w:tc>
        <w:tc>
          <w:tcPr>
            <w:tcW w:w="0" w:type="auto"/>
            <w:vAlign w:val="center"/>
            <w:hideMark/>
          </w:tcPr>
          <w:p w14:paraId="28D9D5DA"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22</w:t>
            </w:r>
          </w:p>
        </w:tc>
      </w:tr>
      <w:tr w:rsidR="00886B4B" w:rsidRPr="00886B4B" w14:paraId="3EAF73FD" w14:textId="77777777" w:rsidTr="00413071">
        <w:trPr>
          <w:tblCellSpacing w:w="15" w:type="dxa"/>
          <w:jc w:val="center"/>
        </w:trPr>
        <w:tc>
          <w:tcPr>
            <w:tcW w:w="0" w:type="auto"/>
            <w:vAlign w:val="center"/>
            <w:hideMark/>
          </w:tcPr>
          <w:p w14:paraId="0BDB41BD"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2023</w:t>
            </w:r>
          </w:p>
        </w:tc>
        <w:tc>
          <w:tcPr>
            <w:tcW w:w="0" w:type="auto"/>
            <w:vAlign w:val="center"/>
            <w:hideMark/>
          </w:tcPr>
          <w:p w14:paraId="7575AE5F"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26</w:t>
            </w:r>
          </w:p>
        </w:tc>
      </w:tr>
      <w:tr w:rsidR="00886B4B" w:rsidRPr="00886B4B" w14:paraId="7A1FC4C5" w14:textId="77777777" w:rsidTr="00413071">
        <w:trPr>
          <w:tblCellSpacing w:w="15" w:type="dxa"/>
          <w:jc w:val="center"/>
        </w:trPr>
        <w:tc>
          <w:tcPr>
            <w:tcW w:w="0" w:type="auto"/>
            <w:vAlign w:val="center"/>
            <w:hideMark/>
          </w:tcPr>
          <w:p w14:paraId="6C0185F4"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2024</w:t>
            </w:r>
          </w:p>
        </w:tc>
        <w:tc>
          <w:tcPr>
            <w:tcW w:w="0" w:type="auto"/>
            <w:vAlign w:val="center"/>
            <w:hideMark/>
          </w:tcPr>
          <w:p w14:paraId="117CC1B4"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30</w:t>
            </w:r>
          </w:p>
        </w:tc>
      </w:tr>
    </w:tbl>
    <w:p w14:paraId="64AF3F47" w14:textId="77777777" w:rsidR="006545BA" w:rsidRDefault="006545BA" w:rsidP="006545BA">
      <w:pPr>
        <w:pBdr>
          <w:top w:val="nil"/>
          <w:left w:val="nil"/>
          <w:bottom w:val="nil"/>
          <w:right w:val="nil"/>
          <w:between w:val="nil"/>
        </w:pBdr>
        <w:spacing w:line="276" w:lineRule="auto"/>
        <w:jc w:val="center"/>
        <w:rPr>
          <w:color w:val="000000"/>
        </w:rPr>
      </w:pPr>
      <w:proofErr w:type="gramStart"/>
      <w:r>
        <w:rPr>
          <w:color w:val="000000"/>
          <w:lang w:val="en-ID"/>
        </w:rPr>
        <w:t>Source :</w:t>
      </w:r>
      <w:proofErr w:type="gramEnd"/>
      <w:r>
        <w:rPr>
          <w:color w:val="000000"/>
          <w:lang w:val="en-ID"/>
        </w:rPr>
        <w:t xml:space="preserve"> </w:t>
      </w:r>
      <w:r w:rsidRPr="006545BA">
        <w:rPr>
          <w:color w:val="000000"/>
        </w:rPr>
        <w:t xml:space="preserve">Ministry of Marine Affairs and Fisheries. (2024). </w:t>
      </w:r>
      <w:r w:rsidRPr="006545BA">
        <w:rPr>
          <w:i/>
          <w:iCs/>
          <w:color w:val="000000"/>
        </w:rPr>
        <w:t>Annual report on lobster seed (</w:t>
      </w:r>
      <w:proofErr w:type="spellStart"/>
      <w:r w:rsidRPr="006545BA">
        <w:rPr>
          <w:i/>
          <w:iCs/>
          <w:color w:val="000000"/>
        </w:rPr>
        <w:t>benur</w:t>
      </w:r>
      <w:proofErr w:type="spellEnd"/>
      <w:r w:rsidRPr="006545BA">
        <w:rPr>
          <w:i/>
          <w:iCs/>
          <w:color w:val="000000"/>
        </w:rPr>
        <w:t>) trade and smuggling in Indonesia, 2020–2024</w:t>
      </w:r>
      <w:r w:rsidRPr="006545BA">
        <w:rPr>
          <w:color w:val="000000"/>
        </w:rPr>
        <w:t>. Jakarta, Indonesia: Directorate General of Marine and Fisheries Resources Supervision</w:t>
      </w:r>
    </w:p>
    <w:p w14:paraId="2FCCA41E" w14:textId="384C0AAF" w:rsidR="00886B4B" w:rsidRPr="00886B4B" w:rsidRDefault="006545BA" w:rsidP="006545BA">
      <w:pPr>
        <w:pBdr>
          <w:top w:val="nil"/>
          <w:left w:val="nil"/>
          <w:bottom w:val="nil"/>
          <w:right w:val="nil"/>
          <w:between w:val="nil"/>
        </w:pBdr>
        <w:spacing w:line="276" w:lineRule="auto"/>
        <w:jc w:val="both"/>
        <w:rPr>
          <w:color w:val="000000"/>
          <w:lang w:val="en-ID"/>
        </w:rPr>
      </w:pPr>
      <w:r w:rsidRPr="006545BA">
        <w:rPr>
          <w:color w:val="000000"/>
          <w:lang w:val="en-ID"/>
        </w:rPr>
        <w:br/>
      </w:r>
      <w:r>
        <w:rPr>
          <w:color w:val="000000"/>
          <w:lang w:val="en-ID"/>
        </w:rPr>
        <w:tab/>
      </w:r>
      <w:r w:rsidRPr="006545BA">
        <w:rPr>
          <w:color w:val="000000"/>
          <w:lang w:val="en-ID"/>
        </w:rPr>
        <w:t xml:space="preserve">Table 1 illustrates a consistent upward trend in </w:t>
      </w:r>
      <w:proofErr w:type="spellStart"/>
      <w:r w:rsidRPr="006545BA">
        <w:rPr>
          <w:color w:val="000000"/>
          <w:lang w:val="en-ID"/>
        </w:rPr>
        <w:t>benur</w:t>
      </w:r>
      <w:proofErr w:type="spellEnd"/>
      <w:r w:rsidRPr="006545BA">
        <w:rPr>
          <w:color w:val="000000"/>
          <w:lang w:val="en-ID"/>
        </w:rPr>
        <w:t xml:space="preserve"> smuggling from 2020 to 2024, with volumes increasing from 15 million units in </w:t>
      </w:r>
      <w:bookmarkStart w:id="3" w:name="_Hlk208801475"/>
      <w:r w:rsidRPr="006545BA">
        <w:rPr>
          <w:color w:val="000000"/>
          <w:lang w:val="en-ID"/>
        </w:rPr>
        <w:t>2</w:t>
      </w:r>
      <w:bookmarkEnd w:id="3"/>
      <w:r w:rsidRPr="006545BA">
        <w:rPr>
          <w:color w:val="000000"/>
          <w:lang w:val="en-ID"/>
        </w:rPr>
        <w:t xml:space="preserve">020 to 30 million units in 2024. This doubling over five years indicates a significant escalation in illegal lobster trade, likely driven by high international market demand, limited enforcement capacity, and gaps in regulatory oversight. The trend highlights the urgency for enhanced monitoring, stricter enforcement of </w:t>
      </w:r>
      <w:proofErr w:type="spellStart"/>
      <w:r w:rsidRPr="006545BA">
        <w:rPr>
          <w:color w:val="000000"/>
          <w:lang w:val="en-ID"/>
        </w:rPr>
        <w:t>Permen</w:t>
      </w:r>
      <w:proofErr w:type="spellEnd"/>
      <w:r w:rsidRPr="006545BA">
        <w:rPr>
          <w:color w:val="000000"/>
          <w:lang w:val="en-ID"/>
        </w:rPr>
        <w:t xml:space="preserve"> KKP No. 7/2024, and targeted interventions in coastal communities to curb the proliferation of this illegal activity, as the growing volumes pose </w:t>
      </w:r>
      <w:r w:rsidRPr="006545BA">
        <w:rPr>
          <w:color w:val="000000"/>
          <w:lang w:val="en-ID"/>
        </w:rPr>
        <w:lastRenderedPageBreak/>
        <w:t>both ecological risks to lobster populations and economic challenges for legal aquaculture operators.</w:t>
      </w:r>
      <w:r>
        <w:rPr>
          <w:color w:val="000000"/>
          <w:lang w:val="en-ID"/>
        </w:rPr>
        <w:t xml:space="preserve"> </w:t>
      </w:r>
      <w:r w:rsidR="00886B4B" w:rsidRPr="00886B4B">
        <w:rPr>
          <w:color w:val="000000"/>
          <w:lang w:val="en-ID"/>
        </w:rPr>
        <w:t>Annual growth rate (average historical increase):</w:t>
      </w:r>
    </w:p>
    <w:p w14:paraId="1527833D" w14:textId="330F47BC" w:rsidR="006545BA" w:rsidRDefault="006545BA" w:rsidP="00886B4B">
      <w:pPr>
        <w:pBdr>
          <w:top w:val="nil"/>
          <w:left w:val="nil"/>
          <w:bottom w:val="nil"/>
          <w:right w:val="nil"/>
          <w:between w:val="nil"/>
        </w:pBdr>
        <w:spacing w:line="276" w:lineRule="auto"/>
        <w:jc w:val="both"/>
        <w:rPr>
          <w:color w:val="000000"/>
          <w:lang w:val="en-ID"/>
        </w:rPr>
      </w:pPr>
      <w:r w:rsidRPr="006545BA">
        <w:rPr>
          <w:noProof/>
          <w:color w:val="000000"/>
          <w:lang w:val="en-ID"/>
        </w:rPr>
        <w:drawing>
          <wp:inline distT="0" distB="0" distL="0" distR="0" wp14:anchorId="6C3FBF86" wp14:editId="59081A40">
            <wp:extent cx="3105146" cy="502508"/>
            <wp:effectExtent l="0" t="0" r="635" b="0"/>
            <wp:docPr id="1366258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58579" name=""/>
                    <pic:cNvPicPr/>
                  </pic:nvPicPr>
                  <pic:blipFill rotWithShape="1">
                    <a:blip r:embed="rId10"/>
                    <a:srcRect l="46080" t="43682" r="22797" b="48260"/>
                    <a:stretch>
                      <a:fillRect/>
                    </a:stretch>
                  </pic:blipFill>
                  <pic:spPr bwMode="auto">
                    <a:xfrm>
                      <a:off x="0" y="0"/>
                      <a:ext cx="3121930" cy="505224"/>
                    </a:xfrm>
                    <a:prstGeom prst="rect">
                      <a:avLst/>
                    </a:prstGeom>
                    <a:ln>
                      <a:noFill/>
                    </a:ln>
                    <a:extLst>
                      <a:ext uri="{53640926-AAD7-44D8-BBD7-CCE9431645EC}">
                        <a14:shadowObscured xmlns:a14="http://schemas.microsoft.com/office/drawing/2010/main"/>
                      </a:ext>
                    </a:extLst>
                  </pic:spPr>
                </pic:pic>
              </a:graphicData>
            </a:graphic>
          </wp:inline>
        </w:drawing>
      </w:r>
    </w:p>
    <w:p w14:paraId="0F130076" w14:textId="77777777" w:rsidR="006545BA" w:rsidRDefault="006545BA" w:rsidP="006545BA">
      <w:pPr>
        <w:pBdr>
          <w:top w:val="nil"/>
          <w:left w:val="nil"/>
          <w:bottom w:val="nil"/>
          <w:right w:val="nil"/>
          <w:between w:val="nil"/>
        </w:pBdr>
        <w:spacing w:line="276" w:lineRule="auto"/>
        <w:jc w:val="both"/>
        <w:rPr>
          <w:color w:val="000000"/>
          <w:lang w:val="en-ID"/>
        </w:rPr>
      </w:pPr>
    </w:p>
    <w:p w14:paraId="783C0EE3" w14:textId="52AFFFAE" w:rsidR="00886B4B" w:rsidRPr="00886B4B" w:rsidRDefault="006545BA" w:rsidP="006545BA">
      <w:pPr>
        <w:pBdr>
          <w:top w:val="nil"/>
          <w:left w:val="nil"/>
          <w:bottom w:val="nil"/>
          <w:right w:val="nil"/>
          <w:between w:val="nil"/>
        </w:pBdr>
        <w:spacing w:line="276" w:lineRule="auto"/>
        <w:jc w:val="center"/>
        <w:rPr>
          <w:b/>
          <w:bCs/>
          <w:color w:val="000000"/>
          <w:lang w:val="en-ID"/>
        </w:rPr>
      </w:pPr>
      <w:r w:rsidRPr="006545BA">
        <w:rPr>
          <w:b/>
          <w:bCs/>
          <w:color w:val="000000"/>
          <w:lang w:val="en-ID"/>
        </w:rPr>
        <w:t xml:space="preserve">Table 2 </w:t>
      </w:r>
      <w:r w:rsidR="00886B4B" w:rsidRPr="00886B4B">
        <w:rPr>
          <w:b/>
          <w:bCs/>
          <w:color w:val="000000"/>
          <w:lang w:val="en-ID"/>
        </w:rPr>
        <w:t>Independent variables impact multipliers (expert-estimated via Delphi method):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1653"/>
        <w:gridCol w:w="2109"/>
        <w:gridCol w:w="1251"/>
        <w:gridCol w:w="1911"/>
      </w:tblGrid>
      <w:tr w:rsidR="00886B4B" w:rsidRPr="00886B4B" w14:paraId="46E796F6" w14:textId="77777777" w:rsidTr="001148E7">
        <w:trPr>
          <w:tblHeader/>
          <w:tblCellSpacing w:w="15" w:type="dxa"/>
        </w:trPr>
        <w:tc>
          <w:tcPr>
            <w:tcW w:w="0" w:type="auto"/>
            <w:vAlign w:val="center"/>
            <w:hideMark/>
          </w:tcPr>
          <w:p w14:paraId="33140DA1"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Scenario</w:t>
            </w:r>
          </w:p>
        </w:tc>
        <w:tc>
          <w:tcPr>
            <w:tcW w:w="0" w:type="auto"/>
            <w:vAlign w:val="center"/>
            <w:hideMark/>
          </w:tcPr>
          <w:p w14:paraId="235BBA5F"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Regulatory Stringency</w:t>
            </w:r>
          </w:p>
        </w:tc>
        <w:tc>
          <w:tcPr>
            <w:tcW w:w="0" w:type="auto"/>
            <w:vAlign w:val="center"/>
            <w:hideMark/>
          </w:tcPr>
          <w:p w14:paraId="1109A309"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Law Enforcement Effectiveness</w:t>
            </w:r>
          </w:p>
        </w:tc>
        <w:tc>
          <w:tcPr>
            <w:tcW w:w="0" w:type="auto"/>
            <w:vAlign w:val="center"/>
            <w:hideMark/>
          </w:tcPr>
          <w:p w14:paraId="39C03F8D"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Market Demand</w:t>
            </w:r>
          </w:p>
        </w:tc>
        <w:tc>
          <w:tcPr>
            <w:tcW w:w="0" w:type="auto"/>
            <w:vAlign w:val="center"/>
            <w:hideMark/>
          </w:tcPr>
          <w:p w14:paraId="1F52CF4E"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Multiplier on Baseline Growth</w:t>
            </w:r>
          </w:p>
        </w:tc>
      </w:tr>
      <w:tr w:rsidR="00886B4B" w:rsidRPr="00886B4B" w14:paraId="2FC016A7" w14:textId="77777777" w:rsidTr="001148E7">
        <w:trPr>
          <w:tblCellSpacing w:w="15" w:type="dxa"/>
        </w:trPr>
        <w:tc>
          <w:tcPr>
            <w:tcW w:w="0" w:type="auto"/>
            <w:vAlign w:val="center"/>
            <w:hideMark/>
          </w:tcPr>
          <w:p w14:paraId="3D973AFA"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Baseline</w:t>
            </w:r>
          </w:p>
        </w:tc>
        <w:tc>
          <w:tcPr>
            <w:tcW w:w="0" w:type="auto"/>
            <w:vAlign w:val="center"/>
            <w:hideMark/>
          </w:tcPr>
          <w:p w14:paraId="6DBE59F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Moderate</w:t>
            </w:r>
          </w:p>
        </w:tc>
        <w:tc>
          <w:tcPr>
            <w:tcW w:w="0" w:type="auto"/>
            <w:vAlign w:val="center"/>
            <w:hideMark/>
          </w:tcPr>
          <w:p w14:paraId="3A8E4E12"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Moderate</w:t>
            </w:r>
          </w:p>
        </w:tc>
        <w:tc>
          <w:tcPr>
            <w:tcW w:w="0" w:type="auto"/>
            <w:vAlign w:val="center"/>
            <w:hideMark/>
          </w:tcPr>
          <w:p w14:paraId="0055CD6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Stable</w:t>
            </w:r>
          </w:p>
        </w:tc>
        <w:tc>
          <w:tcPr>
            <w:tcW w:w="0" w:type="auto"/>
            <w:vAlign w:val="center"/>
            <w:hideMark/>
          </w:tcPr>
          <w:p w14:paraId="76B5991E"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1.0</w:t>
            </w:r>
          </w:p>
        </w:tc>
      </w:tr>
      <w:tr w:rsidR="00886B4B" w:rsidRPr="00886B4B" w14:paraId="7D4614FA" w14:textId="77777777" w:rsidTr="001148E7">
        <w:trPr>
          <w:tblCellSpacing w:w="15" w:type="dxa"/>
        </w:trPr>
        <w:tc>
          <w:tcPr>
            <w:tcW w:w="0" w:type="auto"/>
            <w:vAlign w:val="center"/>
            <w:hideMark/>
          </w:tcPr>
          <w:p w14:paraId="7731C52E"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Tight Enforcement</w:t>
            </w:r>
          </w:p>
        </w:tc>
        <w:tc>
          <w:tcPr>
            <w:tcW w:w="0" w:type="auto"/>
            <w:vAlign w:val="center"/>
            <w:hideMark/>
          </w:tcPr>
          <w:p w14:paraId="4B665E9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High</w:t>
            </w:r>
          </w:p>
        </w:tc>
        <w:tc>
          <w:tcPr>
            <w:tcW w:w="0" w:type="auto"/>
            <w:vAlign w:val="center"/>
            <w:hideMark/>
          </w:tcPr>
          <w:p w14:paraId="31486BE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High</w:t>
            </w:r>
          </w:p>
        </w:tc>
        <w:tc>
          <w:tcPr>
            <w:tcW w:w="0" w:type="auto"/>
            <w:vAlign w:val="center"/>
            <w:hideMark/>
          </w:tcPr>
          <w:p w14:paraId="42603F9B"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Stable</w:t>
            </w:r>
          </w:p>
        </w:tc>
        <w:tc>
          <w:tcPr>
            <w:tcW w:w="0" w:type="auto"/>
            <w:vAlign w:val="center"/>
            <w:hideMark/>
          </w:tcPr>
          <w:p w14:paraId="0174EA1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0.6</w:t>
            </w:r>
          </w:p>
        </w:tc>
      </w:tr>
      <w:tr w:rsidR="00886B4B" w:rsidRPr="00886B4B" w14:paraId="38880B19" w14:textId="77777777" w:rsidTr="001148E7">
        <w:trPr>
          <w:tblCellSpacing w:w="15" w:type="dxa"/>
        </w:trPr>
        <w:tc>
          <w:tcPr>
            <w:tcW w:w="0" w:type="auto"/>
            <w:vAlign w:val="center"/>
            <w:hideMark/>
          </w:tcPr>
          <w:p w14:paraId="049FAEBD" w14:textId="77777777" w:rsidR="00886B4B" w:rsidRPr="00886B4B" w:rsidRDefault="00886B4B" w:rsidP="00886B4B">
            <w:pPr>
              <w:pBdr>
                <w:top w:val="nil"/>
                <w:left w:val="nil"/>
                <w:bottom w:val="nil"/>
                <w:right w:val="nil"/>
                <w:between w:val="nil"/>
              </w:pBdr>
              <w:spacing w:line="276" w:lineRule="auto"/>
              <w:jc w:val="both"/>
              <w:rPr>
                <w:color w:val="000000"/>
                <w:lang w:val="en-ID"/>
              </w:rPr>
            </w:pPr>
            <w:r w:rsidRPr="00886B4B">
              <w:rPr>
                <w:color w:val="000000"/>
                <w:lang w:val="en-ID"/>
              </w:rPr>
              <w:t>Loose Enforcement</w:t>
            </w:r>
          </w:p>
        </w:tc>
        <w:tc>
          <w:tcPr>
            <w:tcW w:w="0" w:type="auto"/>
            <w:vAlign w:val="center"/>
            <w:hideMark/>
          </w:tcPr>
          <w:p w14:paraId="7CFF47A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Low</w:t>
            </w:r>
          </w:p>
        </w:tc>
        <w:tc>
          <w:tcPr>
            <w:tcW w:w="0" w:type="auto"/>
            <w:vAlign w:val="center"/>
            <w:hideMark/>
          </w:tcPr>
          <w:p w14:paraId="686D8878"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Low</w:t>
            </w:r>
          </w:p>
        </w:tc>
        <w:tc>
          <w:tcPr>
            <w:tcW w:w="0" w:type="auto"/>
            <w:vAlign w:val="center"/>
            <w:hideMark/>
          </w:tcPr>
          <w:p w14:paraId="4D194E8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Rising</w:t>
            </w:r>
          </w:p>
        </w:tc>
        <w:tc>
          <w:tcPr>
            <w:tcW w:w="0" w:type="auto"/>
            <w:vAlign w:val="center"/>
            <w:hideMark/>
          </w:tcPr>
          <w:p w14:paraId="5EE5FF82"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1.3</w:t>
            </w:r>
          </w:p>
        </w:tc>
      </w:tr>
    </w:tbl>
    <w:p w14:paraId="3A20BE50" w14:textId="2EE178EA" w:rsidR="00921E59" w:rsidRPr="00921E59" w:rsidRDefault="00921E59" w:rsidP="00921E59">
      <w:pPr>
        <w:pBdr>
          <w:top w:val="nil"/>
          <w:left w:val="nil"/>
          <w:bottom w:val="nil"/>
          <w:right w:val="nil"/>
          <w:between w:val="nil"/>
        </w:pBdr>
        <w:spacing w:line="276" w:lineRule="auto"/>
        <w:jc w:val="center"/>
        <w:rPr>
          <w:color w:val="000000"/>
          <w:lang w:val="en-ID"/>
        </w:rPr>
      </w:pPr>
      <w:proofErr w:type="gramStart"/>
      <w:r w:rsidRPr="00921E59">
        <w:rPr>
          <w:color w:val="000000"/>
        </w:rPr>
        <w:t>Source :</w:t>
      </w:r>
      <w:proofErr w:type="gramEnd"/>
      <w:r w:rsidRPr="00921E59">
        <w:rPr>
          <w:color w:val="000000"/>
        </w:rPr>
        <w:t xml:space="preserve"> Expert Panel. (2024)</w:t>
      </w:r>
    </w:p>
    <w:p w14:paraId="35DA513F" w14:textId="77777777" w:rsidR="00921E59" w:rsidRDefault="00921E59" w:rsidP="00921E59">
      <w:pPr>
        <w:pBdr>
          <w:top w:val="nil"/>
          <w:left w:val="nil"/>
          <w:bottom w:val="nil"/>
          <w:right w:val="nil"/>
          <w:between w:val="nil"/>
        </w:pBdr>
        <w:spacing w:line="276" w:lineRule="auto"/>
        <w:ind w:left="720"/>
        <w:jc w:val="both"/>
        <w:rPr>
          <w:b/>
          <w:bCs/>
          <w:color w:val="000000"/>
          <w:lang w:val="en-ID"/>
        </w:rPr>
      </w:pPr>
    </w:p>
    <w:p w14:paraId="561E94FF" w14:textId="1531E2E6" w:rsidR="00886B4B" w:rsidRPr="00886B4B" w:rsidRDefault="00886B4B" w:rsidP="00921E59">
      <w:pPr>
        <w:pBdr>
          <w:top w:val="nil"/>
          <w:left w:val="nil"/>
          <w:bottom w:val="nil"/>
          <w:right w:val="nil"/>
          <w:between w:val="nil"/>
        </w:pBdr>
        <w:spacing w:line="276" w:lineRule="auto"/>
        <w:ind w:left="720"/>
        <w:jc w:val="both"/>
        <w:rPr>
          <w:color w:val="000000"/>
          <w:lang w:val="en-ID"/>
        </w:rPr>
      </w:pPr>
      <w:r w:rsidRPr="00886B4B">
        <w:rPr>
          <w:b/>
          <w:bCs/>
          <w:color w:val="000000"/>
          <w:lang w:val="en-ID"/>
        </w:rPr>
        <w:t>Control variables</w:t>
      </w:r>
      <w:r w:rsidRPr="00886B4B">
        <w:rPr>
          <w:color w:val="000000"/>
          <w:lang w:val="en-ID"/>
        </w:rPr>
        <w:t>: For simplicity, included implicitly via scenario multipliers.</w:t>
      </w:r>
    </w:p>
    <w:p w14:paraId="6E46EF73" w14:textId="1AE883D3" w:rsidR="00886B4B" w:rsidRDefault="00886B4B" w:rsidP="00886B4B">
      <w:pPr>
        <w:pBdr>
          <w:top w:val="nil"/>
          <w:left w:val="nil"/>
          <w:bottom w:val="nil"/>
          <w:right w:val="nil"/>
          <w:between w:val="nil"/>
        </w:pBdr>
        <w:spacing w:line="276" w:lineRule="auto"/>
        <w:jc w:val="both"/>
        <w:rPr>
          <w:color w:val="000000"/>
          <w:lang w:val="en-ID"/>
        </w:rPr>
      </w:pPr>
    </w:p>
    <w:p w14:paraId="1577DED6" w14:textId="77777777" w:rsidR="00921E59" w:rsidRPr="00886B4B" w:rsidRDefault="00921E59" w:rsidP="00886B4B">
      <w:pPr>
        <w:pBdr>
          <w:top w:val="nil"/>
          <w:left w:val="nil"/>
          <w:bottom w:val="nil"/>
          <w:right w:val="nil"/>
          <w:between w:val="nil"/>
        </w:pBdr>
        <w:spacing w:line="276" w:lineRule="auto"/>
        <w:jc w:val="both"/>
        <w:rPr>
          <w:color w:val="000000"/>
          <w:lang w:val="en-ID"/>
        </w:rPr>
      </w:pPr>
    </w:p>
    <w:p w14:paraId="75441195" w14:textId="77777777" w:rsidR="00921E59" w:rsidRPr="00921E59" w:rsidRDefault="00921E59" w:rsidP="00921E59">
      <w:pPr>
        <w:pStyle w:val="Judul"/>
        <w:widowControl w:val="0"/>
        <w:numPr>
          <w:ilvl w:val="0"/>
          <w:numId w:val="22"/>
        </w:numPr>
        <w:pBdr>
          <w:bottom w:val="none" w:sz="0" w:space="0" w:color="auto"/>
        </w:pBdr>
        <w:tabs>
          <w:tab w:val="left" w:pos="924"/>
        </w:tabs>
        <w:autoSpaceDE w:val="0"/>
        <w:autoSpaceDN w:val="0"/>
        <w:spacing w:after="0"/>
        <w:ind w:hanging="321"/>
        <w:contextualSpacing w:val="0"/>
        <w:rPr>
          <w:rFonts w:ascii="Times New Roman" w:hAnsi="Times New Roman"/>
          <w:sz w:val="24"/>
          <w:szCs w:val="24"/>
        </w:rPr>
      </w:pPr>
      <w:r w:rsidRPr="00921E59">
        <w:rPr>
          <w:rFonts w:ascii="Times New Roman" w:hAnsi="Times New Roman"/>
          <w:color w:val="0D0D0D"/>
          <w:sz w:val="24"/>
          <w:szCs w:val="24"/>
        </w:rPr>
        <w:t>Step</w:t>
      </w:r>
      <w:r w:rsidRPr="00921E59">
        <w:rPr>
          <w:rFonts w:ascii="Times New Roman" w:hAnsi="Times New Roman"/>
          <w:color w:val="0D0D0D"/>
          <w:spacing w:val="-13"/>
          <w:sz w:val="24"/>
          <w:szCs w:val="24"/>
        </w:rPr>
        <w:t xml:space="preserve"> </w:t>
      </w:r>
      <w:r w:rsidRPr="00921E59">
        <w:rPr>
          <w:rFonts w:ascii="Times New Roman" w:hAnsi="Times New Roman"/>
          <w:color w:val="0D0D0D"/>
          <w:sz w:val="24"/>
          <w:szCs w:val="24"/>
        </w:rPr>
        <w:t>2:</w:t>
      </w:r>
      <w:r w:rsidRPr="00921E59">
        <w:rPr>
          <w:rFonts w:ascii="Times New Roman" w:hAnsi="Times New Roman"/>
          <w:color w:val="0D0D0D"/>
          <w:spacing w:val="-12"/>
          <w:sz w:val="24"/>
          <w:szCs w:val="24"/>
        </w:rPr>
        <w:t xml:space="preserve"> </w:t>
      </w:r>
      <w:r w:rsidRPr="00921E59">
        <w:rPr>
          <w:rFonts w:ascii="Times New Roman" w:hAnsi="Times New Roman"/>
          <w:color w:val="0D0D0D"/>
          <w:sz w:val="24"/>
          <w:szCs w:val="24"/>
        </w:rPr>
        <w:t>Forecast</w:t>
      </w:r>
      <w:r w:rsidRPr="00921E59">
        <w:rPr>
          <w:rFonts w:ascii="Times New Roman" w:hAnsi="Times New Roman"/>
          <w:color w:val="0D0D0D"/>
          <w:spacing w:val="-12"/>
          <w:sz w:val="24"/>
          <w:szCs w:val="24"/>
        </w:rPr>
        <w:t xml:space="preserve"> </w:t>
      </w:r>
      <w:r w:rsidRPr="00921E59">
        <w:rPr>
          <w:rFonts w:ascii="Times New Roman" w:hAnsi="Times New Roman"/>
          <w:color w:val="0D0D0D"/>
          <w:spacing w:val="-2"/>
          <w:sz w:val="24"/>
          <w:szCs w:val="24"/>
        </w:rPr>
        <w:t>Formula</w:t>
      </w:r>
    </w:p>
    <w:p w14:paraId="4F638560" w14:textId="77777777" w:rsidR="00921E59" w:rsidRPr="00921E59" w:rsidRDefault="00921E59" w:rsidP="00921E59">
      <w:pPr>
        <w:pStyle w:val="TeksIsi"/>
        <w:spacing w:before="162"/>
        <w:ind w:left="603"/>
      </w:pPr>
      <w:r w:rsidRPr="00921E59">
        <w:rPr>
          <w:color w:val="0D0D0D"/>
        </w:rPr>
        <w:t>The projected</w:t>
      </w:r>
      <w:r w:rsidRPr="00921E59">
        <w:rPr>
          <w:color w:val="0D0D0D"/>
          <w:spacing w:val="1"/>
        </w:rPr>
        <w:t xml:space="preserve"> </w:t>
      </w:r>
      <w:r w:rsidRPr="00921E59">
        <w:rPr>
          <w:color w:val="0D0D0D"/>
        </w:rPr>
        <w:t>smuggling volume</w:t>
      </w:r>
      <w:r w:rsidRPr="00921E59">
        <w:rPr>
          <w:color w:val="0D0D0D"/>
          <w:spacing w:val="2"/>
        </w:rPr>
        <w:t xml:space="preserve"> </w:t>
      </w:r>
      <w:r w:rsidRPr="00921E59">
        <w:rPr>
          <w:i/>
          <w:color w:val="0D0D0D"/>
        </w:rPr>
        <w:t>Y</w:t>
      </w:r>
      <w:r w:rsidRPr="00921E59">
        <w:rPr>
          <w:i/>
          <w:color w:val="0D0D0D"/>
          <w:vertAlign w:val="subscript"/>
        </w:rPr>
        <w:t>t</w:t>
      </w:r>
      <w:r w:rsidRPr="00921E59">
        <w:rPr>
          <w:color w:val="0D0D0D"/>
          <w:vertAlign w:val="subscript"/>
        </w:rPr>
        <w:t>+1</w:t>
      </w:r>
      <w:r w:rsidRPr="00921E59">
        <w:rPr>
          <w:color w:val="0D0D0D"/>
          <w:spacing w:val="8"/>
        </w:rPr>
        <w:t xml:space="preserve"> </w:t>
      </w:r>
      <w:r w:rsidRPr="00921E59">
        <w:rPr>
          <w:color w:val="0D0D0D"/>
        </w:rPr>
        <w:t>is</w:t>
      </w:r>
      <w:r w:rsidRPr="00921E59">
        <w:rPr>
          <w:color w:val="0D0D0D"/>
          <w:spacing w:val="1"/>
        </w:rPr>
        <w:t xml:space="preserve"> </w:t>
      </w:r>
      <w:r w:rsidRPr="00921E59">
        <w:rPr>
          <w:color w:val="0D0D0D"/>
        </w:rPr>
        <w:t xml:space="preserve">calculated </w:t>
      </w:r>
      <w:r w:rsidRPr="00921E59">
        <w:rPr>
          <w:color w:val="0D0D0D"/>
          <w:spacing w:val="-5"/>
        </w:rPr>
        <w:t>as:</w:t>
      </w:r>
    </w:p>
    <w:p w14:paraId="3800A4A5" w14:textId="3C3A5CDF" w:rsidR="00921E59" w:rsidRPr="00921E59" w:rsidRDefault="00921E59" w:rsidP="00921E59">
      <w:pPr>
        <w:spacing w:before="279"/>
        <w:ind w:left="1" w:right="114"/>
        <w:jc w:val="center"/>
      </w:pPr>
      <w:r w:rsidRPr="00921E59">
        <w:rPr>
          <w:i/>
          <w:color w:val="0D0D0D"/>
          <w:w w:val="115"/>
        </w:rPr>
        <w:t>Y</w:t>
      </w:r>
      <w:r w:rsidRPr="00921E59">
        <w:rPr>
          <w:i/>
          <w:color w:val="0D0D0D"/>
          <w:w w:val="115"/>
          <w:vertAlign w:val="subscript"/>
        </w:rPr>
        <w:t>t</w:t>
      </w:r>
      <w:r w:rsidRPr="00921E59">
        <w:rPr>
          <w:color w:val="0D0D0D"/>
          <w:w w:val="115"/>
          <w:vertAlign w:val="subscript"/>
        </w:rPr>
        <w:t>+1</w:t>
      </w:r>
      <w:r w:rsidRPr="00921E59">
        <w:rPr>
          <w:color w:val="0D0D0D"/>
          <w:spacing w:val="14"/>
          <w:w w:val="115"/>
        </w:rPr>
        <w:t xml:space="preserve"> </w:t>
      </w:r>
      <w:r w:rsidRPr="00921E59">
        <w:rPr>
          <w:color w:val="0D0D0D"/>
          <w:w w:val="115"/>
        </w:rPr>
        <w:t>=</w:t>
      </w:r>
      <w:r w:rsidRPr="00921E59">
        <w:rPr>
          <w:color w:val="0D0D0D"/>
          <w:spacing w:val="1"/>
          <w:w w:val="115"/>
        </w:rPr>
        <w:t xml:space="preserve"> </w:t>
      </w:r>
      <w:proofErr w:type="spellStart"/>
      <w:r w:rsidRPr="00921E59">
        <w:rPr>
          <w:i/>
          <w:color w:val="0D0D0D"/>
          <w:w w:val="115"/>
        </w:rPr>
        <w:t>Y</w:t>
      </w:r>
      <w:r w:rsidRPr="00921E59">
        <w:rPr>
          <w:i/>
          <w:color w:val="0D0D0D"/>
          <w:w w:val="115"/>
          <w:vertAlign w:val="subscript"/>
        </w:rPr>
        <w:t>t</w:t>
      </w:r>
      <w:proofErr w:type="spellEnd"/>
      <w:r w:rsidRPr="00921E59">
        <w:rPr>
          <w:i/>
          <w:color w:val="0D0D0D"/>
          <w:spacing w:val="-11"/>
          <w:w w:val="115"/>
        </w:rPr>
        <w:t xml:space="preserve"> </w:t>
      </w:r>
      <w:r w:rsidRPr="00921E59">
        <w:rPr>
          <w:color w:val="0D0D0D"/>
          <w:w w:val="115"/>
        </w:rPr>
        <w:t>×</w:t>
      </w:r>
      <w:r w:rsidRPr="00921E59">
        <w:rPr>
          <w:color w:val="0D0D0D"/>
          <w:spacing w:val="-17"/>
          <w:w w:val="115"/>
        </w:rPr>
        <w:t xml:space="preserve"> </w:t>
      </w:r>
      <w:r w:rsidRPr="00921E59">
        <w:rPr>
          <w:color w:val="0D0D0D"/>
          <w:w w:val="115"/>
        </w:rPr>
        <w:t>(1</w:t>
      </w:r>
      <w:r w:rsidRPr="00921E59">
        <w:rPr>
          <w:color w:val="0D0D0D"/>
          <w:spacing w:val="-18"/>
          <w:w w:val="115"/>
        </w:rPr>
        <w:t xml:space="preserve"> </w:t>
      </w:r>
      <w:r w:rsidRPr="00921E59">
        <w:rPr>
          <w:color w:val="0D0D0D"/>
          <w:w w:val="115"/>
        </w:rPr>
        <w:t>+</w:t>
      </w:r>
      <w:r w:rsidRPr="00921E59">
        <w:rPr>
          <w:color w:val="0D0D0D"/>
          <w:spacing w:val="-17"/>
          <w:w w:val="115"/>
        </w:rPr>
        <w:t xml:space="preserve"> </w:t>
      </w:r>
      <w:r w:rsidRPr="00921E59">
        <w:rPr>
          <w:i/>
          <w:color w:val="0D0D0D"/>
          <w:w w:val="115"/>
        </w:rPr>
        <w:t>g</w:t>
      </w:r>
      <w:r w:rsidRPr="00921E59">
        <w:rPr>
          <w:i/>
          <w:color w:val="0D0D0D"/>
          <w:spacing w:val="-15"/>
          <w:w w:val="115"/>
        </w:rPr>
        <w:t xml:space="preserve"> </w:t>
      </w:r>
      <w:r w:rsidRPr="00921E59">
        <w:rPr>
          <w:color w:val="0D0D0D"/>
          <w:w w:val="115"/>
        </w:rPr>
        <w:t>×</w:t>
      </w:r>
      <w:r w:rsidRPr="00921E59">
        <w:rPr>
          <w:color w:val="0D0D0D"/>
          <w:spacing w:val="-17"/>
          <w:w w:val="115"/>
        </w:rPr>
        <w:t xml:space="preserve"> </w:t>
      </w:r>
      <w:proofErr w:type="gramStart"/>
      <w:r w:rsidRPr="00921E59">
        <w:rPr>
          <w:i/>
          <w:color w:val="0D0D0D"/>
          <w:w w:val="115"/>
        </w:rPr>
        <w:t>M</w:t>
      </w:r>
      <w:r w:rsidRPr="00921E59">
        <w:rPr>
          <w:i/>
          <w:color w:val="0D0D0D"/>
          <w:spacing w:val="-60"/>
          <w:w w:val="115"/>
        </w:rPr>
        <w:t xml:space="preserve"> </w:t>
      </w:r>
      <w:r w:rsidRPr="00921E59">
        <w:rPr>
          <w:color w:val="0D0D0D"/>
          <w:spacing w:val="-10"/>
          <w:w w:val="115"/>
        </w:rPr>
        <w:t>)</w:t>
      </w:r>
      <w:proofErr w:type="gramEnd"/>
    </w:p>
    <w:p w14:paraId="0BB90F95" w14:textId="77777777" w:rsidR="00921E59" w:rsidRPr="00921E59" w:rsidRDefault="00921E59" w:rsidP="00921E59">
      <w:pPr>
        <w:pStyle w:val="TeksIsi"/>
        <w:spacing w:before="46"/>
      </w:pPr>
    </w:p>
    <w:p w14:paraId="55977F19" w14:textId="77777777" w:rsidR="00921E59" w:rsidRPr="00921E59" w:rsidRDefault="00921E59" w:rsidP="00921E59">
      <w:pPr>
        <w:pStyle w:val="TeksIsi"/>
        <w:spacing w:before="1"/>
        <w:ind w:left="603"/>
      </w:pPr>
      <w:r w:rsidRPr="00921E59">
        <w:rPr>
          <w:color w:val="0D0D0D"/>
          <w:spacing w:val="-2"/>
        </w:rPr>
        <w:t>Where:</w:t>
      </w:r>
    </w:p>
    <w:p w14:paraId="2FF3D639" w14:textId="77777777" w:rsidR="00921E59" w:rsidRPr="00921E59" w:rsidRDefault="00921E59" w:rsidP="00921E59">
      <w:pPr>
        <w:pStyle w:val="TeksIsi"/>
        <w:tabs>
          <w:tab w:val="left" w:pos="1082"/>
        </w:tabs>
        <w:spacing w:before="147"/>
        <w:ind w:left="722"/>
      </w:pPr>
      <w:r w:rsidRPr="00921E59">
        <w:rPr>
          <w:noProof/>
          <w:position w:val="3"/>
        </w:rPr>
        <w:drawing>
          <wp:inline distT="0" distB="0" distL="0" distR="0" wp14:anchorId="53C9BC1B" wp14:editId="7D424247">
            <wp:extent cx="57070" cy="57065"/>
            <wp:effectExtent l="0" t="0" r="0" b="0"/>
            <wp:docPr id="160029276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57070" cy="57065"/>
                    </a:xfrm>
                    <a:prstGeom prst="rect">
                      <a:avLst/>
                    </a:prstGeom>
                  </pic:spPr>
                </pic:pic>
              </a:graphicData>
            </a:graphic>
          </wp:inline>
        </w:drawing>
      </w:r>
      <w:r w:rsidRPr="00921E59">
        <w:tab/>
      </w:r>
      <w:proofErr w:type="spellStart"/>
      <w:r w:rsidRPr="00921E59">
        <w:rPr>
          <w:i/>
          <w:color w:val="0D0D0D"/>
        </w:rPr>
        <w:t>Y</w:t>
      </w:r>
      <w:r w:rsidRPr="00921E59">
        <w:rPr>
          <w:i/>
          <w:color w:val="0D0D0D"/>
          <w:vertAlign w:val="subscript"/>
        </w:rPr>
        <w:t>t</w:t>
      </w:r>
      <w:proofErr w:type="spellEnd"/>
      <w:r w:rsidRPr="00921E59">
        <w:rPr>
          <w:i/>
          <w:color w:val="0D0D0D"/>
          <w:spacing w:val="-6"/>
        </w:rPr>
        <w:t xml:space="preserve"> </w:t>
      </w:r>
      <w:r w:rsidRPr="00921E59">
        <w:rPr>
          <w:color w:val="0D0D0D"/>
        </w:rPr>
        <w:t>=</w:t>
      </w:r>
      <w:r w:rsidRPr="00921E59">
        <w:rPr>
          <w:color w:val="0D0D0D"/>
          <w:spacing w:val="-5"/>
        </w:rPr>
        <w:t xml:space="preserve"> </w:t>
      </w:r>
      <w:r w:rsidRPr="00921E59">
        <w:rPr>
          <w:color w:val="0D0D0D"/>
        </w:rPr>
        <w:t>volume</w:t>
      </w:r>
      <w:r w:rsidRPr="00921E59">
        <w:rPr>
          <w:color w:val="0D0D0D"/>
          <w:spacing w:val="-5"/>
        </w:rPr>
        <w:t xml:space="preserve"> </w:t>
      </w:r>
      <w:r w:rsidRPr="00921E59">
        <w:rPr>
          <w:color w:val="0D0D0D"/>
        </w:rPr>
        <w:t>in</w:t>
      </w:r>
      <w:r w:rsidRPr="00921E59">
        <w:rPr>
          <w:color w:val="0D0D0D"/>
          <w:spacing w:val="-5"/>
        </w:rPr>
        <w:t xml:space="preserve"> </w:t>
      </w:r>
      <w:r w:rsidRPr="00921E59">
        <w:rPr>
          <w:color w:val="0D0D0D"/>
        </w:rPr>
        <w:t>year</w:t>
      </w:r>
      <w:r w:rsidRPr="00921E59">
        <w:rPr>
          <w:color w:val="0D0D0D"/>
          <w:spacing w:val="-4"/>
        </w:rPr>
        <w:t xml:space="preserve"> </w:t>
      </w:r>
      <w:r w:rsidRPr="00921E59">
        <w:rPr>
          <w:color w:val="0D0D0D"/>
          <w:spacing w:val="-10"/>
        </w:rPr>
        <w:t>t</w:t>
      </w:r>
    </w:p>
    <w:p w14:paraId="386E1103" w14:textId="77777777" w:rsidR="00921E59" w:rsidRPr="00921E59" w:rsidRDefault="00921E59" w:rsidP="00921E59">
      <w:pPr>
        <w:pStyle w:val="TeksIsi"/>
        <w:tabs>
          <w:tab w:val="left" w:pos="1082"/>
        </w:tabs>
        <w:spacing w:before="86"/>
        <w:ind w:left="722"/>
      </w:pPr>
      <w:r w:rsidRPr="00921E59">
        <w:rPr>
          <w:noProof/>
          <w:position w:val="3"/>
        </w:rPr>
        <w:drawing>
          <wp:inline distT="0" distB="0" distL="0" distR="0" wp14:anchorId="71F5A243" wp14:editId="775EE9EF">
            <wp:extent cx="57070" cy="57065"/>
            <wp:effectExtent l="0" t="0" r="0" b="0"/>
            <wp:docPr id="204230055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57070" cy="57065"/>
                    </a:xfrm>
                    <a:prstGeom prst="rect">
                      <a:avLst/>
                    </a:prstGeom>
                  </pic:spPr>
                </pic:pic>
              </a:graphicData>
            </a:graphic>
          </wp:inline>
        </w:drawing>
      </w:r>
      <w:r w:rsidRPr="00921E59">
        <w:tab/>
      </w:r>
      <w:r w:rsidRPr="00921E59">
        <w:rPr>
          <w:i/>
          <w:color w:val="0D0D0D"/>
        </w:rPr>
        <w:t>g</w:t>
      </w:r>
      <w:r w:rsidRPr="00921E59">
        <w:rPr>
          <w:i/>
          <w:color w:val="0D0D0D"/>
          <w:spacing w:val="-15"/>
        </w:rPr>
        <w:t xml:space="preserve"> </w:t>
      </w:r>
      <w:r w:rsidRPr="00921E59">
        <w:rPr>
          <w:color w:val="0D0D0D"/>
        </w:rPr>
        <w:t>=</w:t>
      </w:r>
      <w:r w:rsidRPr="00921E59">
        <w:rPr>
          <w:color w:val="0D0D0D"/>
          <w:spacing w:val="-9"/>
        </w:rPr>
        <w:t xml:space="preserve"> </w:t>
      </w:r>
      <w:r w:rsidRPr="00921E59">
        <w:rPr>
          <w:color w:val="0D0D0D"/>
        </w:rPr>
        <w:t>base</w:t>
      </w:r>
      <w:r w:rsidRPr="00921E59">
        <w:rPr>
          <w:color w:val="0D0D0D"/>
          <w:spacing w:val="-9"/>
        </w:rPr>
        <w:t xml:space="preserve"> </w:t>
      </w:r>
      <w:r w:rsidRPr="00921E59">
        <w:rPr>
          <w:color w:val="0D0D0D"/>
        </w:rPr>
        <w:t>annual</w:t>
      </w:r>
      <w:r w:rsidRPr="00921E59">
        <w:rPr>
          <w:color w:val="0D0D0D"/>
          <w:spacing w:val="-9"/>
        </w:rPr>
        <w:t xml:space="preserve"> </w:t>
      </w:r>
      <w:r w:rsidRPr="00921E59">
        <w:rPr>
          <w:color w:val="0D0D0D"/>
        </w:rPr>
        <w:t>growth</w:t>
      </w:r>
      <w:r w:rsidRPr="00921E59">
        <w:rPr>
          <w:color w:val="0D0D0D"/>
          <w:spacing w:val="-9"/>
        </w:rPr>
        <w:t xml:space="preserve"> </w:t>
      </w:r>
      <w:r w:rsidRPr="00921E59">
        <w:rPr>
          <w:color w:val="0D0D0D"/>
        </w:rPr>
        <w:t>rate</w:t>
      </w:r>
      <w:r w:rsidRPr="00921E59">
        <w:rPr>
          <w:color w:val="0D0D0D"/>
          <w:spacing w:val="-9"/>
        </w:rPr>
        <w:t xml:space="preserve"> </w:t>
      </w:r>
      <w:r w:rsidRPr="00921E59">
        <w:rPr>
          <w:color w:val="0D0D0D"/>
          <w:spacing w:val="-2"/>
        </w:rPr>
        <w:t>(25%)</w:t>
      </w:r>
    </w:p>
    <w:p w14:paraId="718F84CA" w14:textId="77777777" w:rsidR="00921E59" w:rsidRPr="00921E59" w:rsidRDefault="00921E59" w:rsidP="00921E59">
      <w:pPr>
        <w:pStyle w:val="TeksIsi"/>
        <w:tabs>
          <w:tab w:val="left" w:pos="1082"/>
        </w:tabs>
        <w:spacing w:before="85"/>
        <w:ind w:left="722"/>
      </w:pPr>
      <w:r w:rsidRPr="00921E59">
        <w:rPr>
          <w:noProof/>
          <w:position w:val="3"/>
        </w:rPr>
        <w:drawing>
          <wp:inline distT="0" distB="0" distL="0" distR="0" wp14:anchorId="0F4170EF" wp14:editId="5C964515">
            <wp:extent cx="57070" cy="5706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57070" cy="57065"/>
                    </a:xfrm>
                    <a:prstGeom prst="rect">
                      <a:avLst/>
                    </a:prstGeom>
                  </pic:spPr>
                </pic:pic>
              </a:graphicData>
            </a:graphic>
          </wp:inline>
        </w:drawing>
      </w:r>
      <w:r w:rsidRPr="00921E59">
        <w:tab/>
      </w:r>
      <w:r w:rsidRPr="00921E59">
        <w:rPr>
          <w:i/>
          <w:color w:val="0D0D0D"/>
        </w:rPr>
        <w:t>M</w:t>
      </w:r>
      <w:r w:rsidRPr="00921E59">
        <w:rPr>
          <w:i/>
          <w:color w:val="0D0D0D"/>
          <w:spacing w:val="28"/>
        </w:rPr>
        <w:t xml:space="preserve"> </w:t>
      </w:r>
      <w:r w:rsidRPr="00921E59">
        <w:rPr>
          <w:color w:val="0D0D0D"/>
        </w:rPr>
        <w:t>=</w:t>
      </w:r>
      <w:r w:rsidRPr="00921E59">
        <w:rPr>
          <w:color w:val="0D0D0D"/>
          <w:spacing w:val="7"/>
        </w:rPr>
        <w:t xml:space="preserve"> </w:t>
      </w:r>
      <w:r w:rsidRPr="00921E59">
        <w:rPr>
          <w:color w:val="0D0D0D"/>
        </w:rPr>
        <w:t>scenario</w:t>
      </w:r>
      <w:r w:rsidRPr="00921E59">
        <w:rPr>
          <w:color w:val="0D0D0D"/>
          <w:spacing w:val="7"/>
        </w:rPr>
        <w:t xml:space="preserve"> </w:t>
      </w:r>
      <w:r w:rsidRPr="00921E59">
        <w:rPr>
          <w:color w:val="0D0D0D"/>
          <w:spacing w:val="-2"/>
        </w:rPr>
        <w:t>multiplier</w:t>
      </w:r>
    </w:p>
    <w:p w14:paraId="29E63E62" w14:textId="77777777" w:rsidR="00921E59" w:rsidRPr="00921E59" w:rsidRDefault="00921E59" w:rsidP="00921E59">
      <w:pPr>
        <w:pStyle w:val="TeksIsi"/>
        <w:spacing w:before="188"/>
      </w:pPr>
      <w:r w:rsidRPr="00921E59">
        <w:rPr>
          <w:noProof/>
        </w:rPr>
        <mc:AlternateContent>
          <mc:Choice Requires="wps">
            <w:drawing>
              <wp:anchor distT="0" distB="0" distL="0" distR="0" simplePos="0" relativeHeight="251662336" behindDoc="1" locked="0" layoutInCell="1" allowOverlap="1" wp14:anchorId="0BE522AE" wp14:editId="70701DD6">
                <wp:simplePos x="0" y="0"/>
                <wp:positionH relativeFrom="page">
                  <wp:posOffset>742420</wp:posOffset>
                </wp:positionH>
                <wp:positionV relativeFrom="paragraph">
                  <wp:posOffset>303893</wp:posOffset>
                </wp:positionV>
                <wp:extent cx="608774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745" cy="9525"/>
                        </a:xfrm>
                        <a:custGeom>
                          <a:avLst/>
                          <a:gdLst/>
                          <a:ahLst/>
                          <a:cxnLst/>
                          <a:rect l="l" t="t" r="r" b="b"/>
                          <a:pathLst>
                            <a:path w="6087745" h="9525">
                              <a:moveTo>
                                <a:pt x="6087532" y="9511"/>
                              </a:moveTo>
                              <a:lnTo>
                                <a:pt x="0" y="9511"/>
                              </a:lnTo>
                              <a:lnTo>
                                <a:pt x="0" y="0"/>
                              </a:lnTo>
                              <a:lnTo>
                                <a:pt x="6087532" y="0"/>
                              </a:lnTo>
                              <a:lnTo>
                                <a:pt x="6087532" y="9511"/>
                              </a:lnTo>
                              <a:close/>
                            </a:path>
                          </a:pathLst>
                        </a:custGeom>
                        <a:solidFill>
                          <a:srgbClr val="000000">
                            <a:alpha val="14898"/>
                          </a:srgbClr>
                        </a:solidFill>
                      </wps:spPr>
                      <wps:bodyPr wrap="square" lIns="0" tIns="0" rIns="0" bIns="0" rtlCol="0">
                        <a:prstTxWarp prst="textNoShape">
                          <a:avLst/>
                        </a:prstTxWarp>
                        <a:noAutofit/>
                      </wps:bodyPr>
                    </wps:wsp>
                  </a:graphicData>
                </a:graphic>
              </wp:anchor>
            </w:drawing>
          </mc:Choice>
          <mc:Fallback>
            <w:pict>
              <v:shape w14:anchorId="0562D8B2" id="Graphic 21" o:spid="_x0000_s1026" style="position:absolute;margin-left:58.45pt;margin-top:23.95pt;width:479.3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877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" path="m6087532,9511l,9511,,,6087532,r,9511xe" fillcolor="black" stroked="f">
                <v:fill opacity="9766f"/>
                <v:path arrowok="t"/>
                <w10:wrap type="topAndBottom" anchorx="page"/>
              </v:shape>
            </w:pict>
          </mc:Fallback>
        </mc:AlternateContent>
      </w:r>
    </w:p>
    <w:p w14:paraId="00F3F8F7" w14:textId="77777777" w:rsidR="00921E59" w:rsidRPr="00921E59" w:rsidRDefault="00921E59" w:rsidP="00921E59">
      <w:pPr>
        <w:pStyle w:val="TeksIsi"/>
        <w:spacing w:before="106"/>
      </w:pPr>
    </w:p>
    <w:p w14:paraId="2AA2DA86" w14:textId="77777777" w:rsidR="00921E59" w:rsidRPr="00921E59" w:rsidRDefault="00921E59" w:rsidP="00921E59">
      <w:pPr>
        <w:pStyle w:val="Judul"/>
        <w:widowControl w:val="0"/>
        <w:numPr>
          <w:ilvl w:val="0"/>
          <w:numId w:val="22"/>
        </w:numPr>
        <w:pBdr>
          <w:bottom w:val="none" w:sz="0" w:space="0" w:color="auto"/>
        </w:pBdr>
        <w:tabs>
          <w:tab w:val="left" w:pos="924"/>
        </w:tabs>
        <w:autoSpaceDE w:val="0"/>
        <w:autoSpaceDN w:val="0"/>
        <w:spacing w:after="0"/>
        <w:ind w:hanging="321"/>
        <w:contextualSpacing w:val="0"/>
        <w:rPr>
          <w:rFonts w:ascii="Times New Roman" w:hAnsi="Times New Roman"/>
          <w:sz w:val="24"/>
          <w:szCs w:val="24"/>
        </w:rPr>
      </w:pPr>
      <w:r w:rsidRPr="00921E59">
        <w:rPr>
          <w:rFonts w:ascii="Times New Roman" w:hAnsi="Times New Roman"/>
          <w:color w:val="0D0D0D"/>
          <w:spacing w:val="-4"/>
          <w:sz w:val="24"/>
          <w:szCs w:val="24"/>
        </w:rPr>
        <w:t>Step</w:t>
      </w:r>
      <w:r w:rsidRPr="00921E59">
        <w:rPr>
          <w:rFonts w:ascii="Times New Roman" w:hAnsi="Times New Roman"/>
          <w:color w:val="0D0D0D"/>
          <w:spacing w:val="-14"/>
          <w:sz w:val="24"/>
          <w:szCs w:val="24"/>
        </w:rPr>
        <w:t xml:space="preserve"> </w:t>
      </w:r>
      <w:r w:rsidRPr="00921E59">
        <w:rPr>
          <w:rFonts w:ascii="Times New Roman" w:hAnsi="Times New Roman"/>
          <w:color w:val="0D0D0D"/>
          <w:spacing w:val="-4"/>
          <w:sz w:val="24"/>
          <w:szCs w:val="24"/>
        </w:rPr>
        <w:t>3:</w:t>
      </w:r>
      <w:r w:rsidRPr="00921E59">
        <w:rPr>
          <w:rFonts w:ascii="Times New Roman" w:hAnsi="Times New Roman"/>
          <w:color w:val="0D0D0D"/>
          <w:spacing w:val="-13"/>
          <w:sz w:val="24"/>
          <w:szCs w:val="24"/>
        </w:rPr>
        <w:t xml:space="preserve"> </w:t>
      </w:r>
      <w:r w:rsidRPr="00921E59">
        <w:rPr>
          <w:rFonts w:ascii="Times New Roman" w:hAnsi="Times New Roman"/>
          <w:color w:val="0D0D0D"/>
          <w:spacing w:val="-4"/>
          <w:sz w:val="24"/>
          <w:szCs w:val="24"/>
        </w:rPr>
        <w:t>Year-by-Year</w:t>
      </w:r>
      <w:r w:rsidRPr="00921E59">
        <w:rPr>
          <w:rFonts w:ascii="Times New Roman" w:hAnsi="Times New Roman"/>
          <w:color w:val="0D0D0D"/>
          <w:spacing w:val="-14"/>
          <w:sz w:val="24"/>
          <w:szCs w:val="24"/>
        </w:rPr>
        <w:t xml:space="preserve"> </w:t>
      </w:r>
      <w:r w:rsidRPr="00921E59">
        <w:rPr>
          <w:rFonts w:ascii="Times New Roman" w:hAnsi="Times New Roman"/>
          <w:color w:val="0D0D0D"/>
          <w:spacing w:val="-4"/>
          <w:sz w:val="24"/>
          <w:szCs w:val="24"/>
        </w:rPr>
        <w:t>Calculation</w:t>
      </w:r>
    </w:p>
    <w:p w14:paraId="44A60266" w14:textId="77777777" w:rsidR="00921E59" w:rsidRPr="00921E59" w:rsidRDefault="00921E59" w:rsidP="00921E59">
      <w:pPr>
        <w:spacing w:before="277"/>
        <w:ind w:left="603"/>
      </w:pPr>
      <w:r w:rsidRPr="00921E59">
        <w:rPr>
          <w:color w:val="0D0D0D"/>
        </w:rPr>
        <w:t>2025</w:t>
      </w:r>
      <w:r w:rsidRPr="00921E59">
        <w:rPr>
          <w:color w:val="0D0D0D"/>
          <w:spacing w:val="-7"/>
        </w:rPr>
        <w:t xml:space="preserve"> </w:t>
      </w:r>
      <w:r w:rsidRPr="00921E59">
        <w:rPr>
          <w:color w:val="0D0D0D"/>
          <w:spacing w:val="-2"/>
        </w:rPr>
        <w:t>Projection</w:t>
      </w:r>
    </w:p>
    <w:p w14:paraId="2FB6DF7B" w14:textId="77777777" w:rsidR="00921E59" w:rsidRPr="00921E59" w:rsidRDefault="00921E59" w:rsidP="00921E59">
      <w:pPr>
        <w:pStyle w:val="TeksIsi"/>
        <w:tabs>
          <w:tab w:val="left" w:pos="1082"/>
        </w:tabs>
        <w:spacing w:before="138"/>
        <w:ind w:left="722"/>
      </w:pPr>
      <w:r w:rsidRPr="00921E59">
        <w:rPr>
          <w:noProof/>
          <w:position w:val="3"/>
        </w:rPr>
        <w:drawing>
          <wp:inline distT="0" distB="0" distL="0" distR="0" wp14:anchorId="18359687" wp14:editId="5ADC6F37">
            <wp:extent cx="57070" cy="57065"/>
            <wp:effectExtent l="0" t="0" r="0" b="0"/>
            <wp:docPr id="1852462939"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57070" cy="57065"/>
                    </a:xfrm>
                    <a:prstGeom prst="rect">
                      <a:avLst/>
                    </a:prstGeom>
                  </pic:spPr>
                </pic:pic>
              </a:graphicData>
            </a:graphic>
          </wp:inline>
        </w:drawing>
      </w:r>
      <w:r w:rsidRPr="00921E59">
        <w:tab/>
      </w:r>
      <w:r w:rsidRPr="00921E59">
        <w:rPr>
          <w:color w:val="0D0D0D"/>
          <w:spacing w:val="-2"/>
        </w:rPr>
        <w:t>Baseline:</w:t>
      </w:r>
    </w:p>
    <w:p w14:paraId="15A83A5E" w14:textId="77777777" w:rsidR="00921E59" w:rsidRPr="00921E59" w:rsidRDefault="00921E59" w:rsidP="00921E59">
      <w:pPr>
        <w:spacing w:before="282"/>
        <w:ind w:right="114"/>
        <w:jc w:val="center"/>
      </w:pPr>
      <w:r w:rsidRPr="00921E59">
        <w:rPr>
          <w:i/>
          <w:color w:val="0D0D0D"/>
          <w:w w:val="115"/>
        </w:rPr>
        <w:t>Y</w:t>
      </w:r>
      <w:r w:rsidRPr="00921E59">
        <w:rPr>
          <w:color w:val="0D0D0D"/>
          <w:w w:val="115"/>
          <w:vertAlign w:val="subscript"/>
        </w:rPr>
        <w:t>2025</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30</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(1</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0.25</w:t>
      </w:r>
      <w:r w:rsidRPr="00921E59">
        <w:rPr>
          <w:color w:val="0D0D0D"/>
          <w:spacing w:val="-20"/>
          <w:w w:val="115"/>
        </w:rPr>
        <w:t xml:space="preserve"> </w:t>
      </w:r>
      <w:r w:rsidRPr="00921E59">
        <w:rPr>
          <w:color w:val="0D0D0D"/>
          <w:w w:val="115"/>
        </w:rPr>
        <w:t>×</w:t>
      </w:r>
      <w:r w:rsidRPr="00921E59">
        <w:rPr>
          <w:color w:val="0D0D0D"/>
          <w:spacing w:val="-21"/>
          <w:w w:val="115"/>
        </w:rPr>
        <w:t xml:space="preserve"> </w:t>
      </w:r>
      <w:r w:rsidRPr="00921E59">
        <w:rPr>
          <w:color w:val="0D0D0D"/>
          <w:w w:val="115"/>
        </w:rPr>
        <w:t>1.0)</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30</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1.25</w:t>
      </w:r>
      <w:r w:rsidRPr="00921E59">
        <w:rPr>
          <w:color w:val="0D0D0D"/>
          <w:spacing w:val="-19"/>
          <w:w w:val="115"/>
        </w:rPr>
        <w:t xml:space="preserve"> </w:t>
      </w:r>
      <w:r w:rsidRPr="00921E59">
        <w:rPr>
          <w:color w:val="0D0D0D"/>
          <w:w w:val="115"/>
        </w:rPr>
        <w:t>=</w:t>
      </w:r>
      <w:r w:rsidRPr="00921E59">
        <w:rPr>
          <w:color w:val="0D0D0D"/>
          <w:spacing w:val="-13"/>
          <w:w w:val="115"/>
        </w:rPr>
        <w:t xml:space="preserve"> </w:t>
      </w:r>
      <w:r w:rsidRPr="00921E59">
        <w:rPr>
          <w:color w:val="0D0D0D"/>
          <w:spacing w:val="-4"/>
          <w:w w:val="115"/>
        </w:rPr>
        <w:t>37.5</w:t>
      </w:r>
    </w:p>
    <w:p w14:paraId="71D3E2F7" w14:textId="77777777" w:rsidR="00921E59" w:rsidRPr="00921E59" w:rsidRDefault="00921E59" w:rsidP="00921E59">
      <w:pPr>
        <w:pStyle w:val="TeksIsi"/>
        <w:spacing w:before="322"/>
        <w:ind w:left="1082"/>
      </w:pPr>
      <w:r w:rsidRPr="00921E59">
        <w:rPr>
          <w:noProof/>
        </w:rPr>
        <mc:AlternateContent>
          <mc:Choice Requires="wps">
            <w:drawing>
              <wp:anchor distT="0" distB="0" distL="0" distR="0" simplePos="0" relativeHeight="251660288" behindDoc="0" locked="0" layoutInCell="1" allowOverlap="1" wp14:anchorId="55A37755" wp14:editId="7B25D65C">
                <wp:simplePos x="0" y="0"/>
                <wp:positionH relativeFrom="page">
                  <wp:posOffset>818514</wp:posOffset>
                </wp:positionH>
                <wp:positionV relativeFrom="paragraph">
                  <wp:posOffset>293055</wp:posOffset>
                </wp:positionV>
                <wp:extent cx="57150" cy="571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7150"/>
                        </a:xfrm>
                        <a:custGeom>
                          <a:avLst/>
                          <a:gdLst/>
                          <a:ahLst/>
                          <a:cxnLst/>
                          <a:rect l="l" t="t" r="r" b="b"/>
                          <a:pathLst>
                            <a:path w="57150" h="57150">
                              <a:moveTo>
                                <a:pt x="32319" y="57065"/>
                              </a:moveTo>
                              <a:lnTo>
                                <a:pt x="24751" y="57065"/>
                              </a:lnTo>
                              <a:lnTo>
                                <a:pt x="21111" y="56341"/>
                              </a:lnTo>
                              <a:lnTo>
                                <a:pt x="0" y="32316"/>
                              </a:lnTo>
                              <a:lnTo>
                                <a:pt x="0" y="24745"/>
                              </a:lnTo>
                              <a:lnTo>
                                <a:pt x="24751" y="0"/>
                              </a:lnTo>
                              <a:lnTo>
                                <a:pt x="32319" y="0"/>
                              </a:lnTo>
                              <a:lnTo>
                                <a:pt x="57070" y="28535"/>
                              </a:lnTo>
                              <a:lnTo>
                                <a:pt x="57070" y="32316"/>
                              </a:lnTo>
                              <a:lnTo>
                                <a:pt x="32319" y="57065"/>
                              </a:lnTo>
                              <a:close/>
                            </a:path>
                          </a:pathLst>
                        </a:custGeom>
                        <a:solidFill>
                          <a:srgbClr val="5C5C5C"/>
                        </a:solidFill>
                      </wps:spPr>
                      <wps:bodyPr wrap="square" lIns="0" tIns="0" rIns="0" bIns="0" rtlCol="0">
                        <a:prstTxWarp prst="textNoShape">
                          <a:avLst/>
                        </a:prstTxWarp>
                        <a:noAutofit/>
                      </wps:bodyPr>
                    </wps:wsp>
                  </a:graphicData>
                </a:graphic>
              </wp:anchor>
            </w:drawing>
          </mc:Choice>
          <mc:Fallback>
            <w:pict>
              <v:shape w14:anchorId="071056BD" id="Graphic 23" o:spid="_x0000_s1026" style="position:absolute;margin-left:64.45pt;margin-top:23.1pt;width:4.5pt;height:4.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" path="m32319,57065r-7568,l21111,56341,,32316,,24745,24751,r7568,l57070,28535r,3781l32319,57065xe" fillcolor="#5c5c5c" stroked="f">
                <v:path arrowok="t"/>
                <w10:wrap anchorx="page"/>
              </v:shape>
            </w:pict>
          </mc:Fallback>
        </mc:AlternateContent>
      </w:r>
      <w:r w:rsidRPr="00921E59">
        <w:rPr>
          <w:color w:val="0D0D0D"/>
        </w:rPr>
        <w:t>Tight</w:t>
      </w:r>
      <w:r w:rsidRPr="00921E59">
        <w:rPr>
          <w:color w:val="0D0D0D"/>
          <w:spacing w:val="-7"/>
        </w:rPr>
        <w:t xml:space="preserve"> </w:t>
      </w:r>
      <w:r w:rsidRPr="00921E59">
        <w:rPr>
          <w:color w:val="0D0D0D"/>
          <w:spacing w:val="-2"/>
        </w:rPr>
        <w:t>Enforcement:</w:t>
      </w:r>
    </w:p>
    <w:p w14:paraId="68B70E1F" w14:textId="77777777" w:rsidR="00921E59" w:rsidRPr="00921E59" w:rsidRDefault="00921E59" w:rsidP="00921E59">
      <w:pPr>
        <w:spacing w:before="282"/>
        <w:ind w:right="114"/>
        <w:jc w:val="center"/>
      </w:pPr>
      <w:r w:rsidRPr="00921E59">
        <w:rPr>
          <w:i/>
          <w:color w:val="0D0D0D"/>
          <w:w w:val="115"/>
        </w:rPr>
        <w:lastRenderedPageBreak/>
        <w:t>Y</w:t>
      </w:r>
      <w:r w:rsidRPr="00921E59">
        <w:rPr>
          <w:color w:val="0D0D0D"/>
          <w:w w:val="115"/>
          <w:vertAlign w:val="subscript"/>
        </w:rPr>
        <w:t>2025</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30</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(1</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0.25</w:t>
      </w:r>
      <w:r w:rsidRPr="00921E59">
        <w:rPr>
          <w:color w:val="0D0D0D"/>
          <w:spacing w:val="-20"/>
          <w:w w:val="115"/>
        </w:rPr>
        <w:t xml:space="preserve"> </w:t>
      </w:r>
      <w:r w:rsidRPr="00921E59">
        <w:rPr>
          <w:color w:val="0D0D0D"/>
          <w:w w:val="115"/>
        </w:rPr>
        <w:t>×</w:t>
      </w:r>
      <w:r w:rsidRPr="00921E59">
        <w:rPr>
          <w:color w:val="0D0D0D"/>
          <w:spacing w:val="-21"/>
          <w:w w:val="115"/>
        </w:rPr>
        <w:t xml:space="preserve"> </w:t>
      </w:r>
      <w:r w:rsidRPr="00921E59">
        <w:rPr>
          <w:color w:val="0D0D0D"/>
          <w:w w:val="115"/>
        </w:rPr>
        <w:t>0.6)</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30</w:t>
      </w:r>
      <w:r w:rsidRPr="00921E59">
        <w:rPr>
          <w:color w:val="0D0D0D"/>
          <w:spacing w:val="-21"/>
          <w:w w:val="115"/>
        </w:rPr>
        <w:t xml:space="preserve"> </w:t>
      </w:r>
      <w:r w:rsidRPr="00921E59">
        <w:rPr>
          <w:color w:val="0D0D0D"/>
          <w:w w:val="115"/>
        </w:rPr>
        <w:t>×</w:t>
      </w:r>
      <w:r w:rsidRPr="00921E59">
        <w:rPr>
          <w:color w:val="0D0D0D"/>
          <w:spacing w:val="-21"/>
          <w:w w:val="115"/>
        </w:rPr>
        <w:t xml:space="preserve"> </w:t>
      </w:r>
      <w:r w:rsidRPr="00921E59">
        <w:rPr>
          <w:color w:val="0D0D0D"/>
          <w:w w:val="115"/>
        </w:rPr>
        <w:t>1.15</w:t>
      </w:r>
      <w:r w:rsidRPr="00921E59">
        <w:rPr>
          <w:color w:val="0D0D0D"/>
          <w:spacing w:val="-19"/>
          <w:w w:val="115"/>
        </w:rPr>
        <w:t xml:space="preserve"> </w:t>
      </w:r>
      <w:r w:rsidRPr="00921E59">
        <w:rPr>
          <w:color w:val="0D0D0D"/>
          <w:w w:val="115"/>
        </w:rPr>
        <w:t>=</w:t>
      </w:r>
      <w:r w:rsidRPr="00921E59">
        <w:rPr>
          <w:color w:val="0D0D0D"/>
          <w:spacing w:val="-13"/>
          <w:w w:val="115"/>
        </w:rPr>
        <w:t xml:space="preserve"> </w:t>
      </w:r>
      <w:r w:rsidRPr="00921E59">
        <w:rPr>
          <w:color w:val="0D0D0D"/>
          <w:spacing w:val="-4"/>
          <w:w w:val="115"/>
        </w:rPr>
        <w:t>34.5</w:t>
      </w:r>
    </w:p>
    <w:p w14:paraId="51A5A6C8" w14:textId="77777777" w:rsidR="00921E59" w:rsidRPr="00921E59" w:rsidRDefault="00921E59" w:rsidP="00921E59">
      <w:pPr>
        <w:pStyle w:val="TeksIsi"/>
        <w:spacing w:before="4"/>
      </w:pPr>
    </w:p>
    <w:p w14:paraId="5AFC3998" w14:textId="77777777" w:rsidR="00921E59" w:rsidRPr="00921E59" w:rsidRDefault="00921E59" w:rsidP="00921E59">
      <w:pPr>
        <w:pStyle w:val="TeksIsi"/>
        <w:ind w:left="1082"/>
      </w:pPr>
      <w:r w:rsidRPr="00921E59">
        <w:rPr>
          <w:noProof/>
        </w:rPr>
        <mc:AlternateContent>
          <mc:Choice Requires="wps">
            <w:drawing>
              <wp:anchor distT="0" distB="0" distL="0" distR="0" simplePos="0" relativeHeight="251661312" behindDoc="0" locked="0" layoutInCell="1" allowOverlap="1" wp14:anchorId="759D897F" wp14:editId="37B0B391">
                <wp:simplePos x="0" y="0"/>
                <wp:positionH relativeFrom="page">
                  <wp:posOffset>818514</wp:posOffset>
                </wp:positionH>
                <wp:positionV relativeFrom="paragraph">
                  <wp:posOffset>88453</wp:posOffset>
                </wp:positionV>
                <wp:extent cx="57150" cy="571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7150"/>
                        </a:xfrm>
                        <a:custGeom>
                          <a:avLst/>
                          <a:gdLst/>
                          <a:ahLst/>
                          <a:cxnLst/>
                          <a:rect l="l" t="t" r="r" b="b"/>
                          <a:pathLst>
                            <a:path w="57150" h="57150">
                              <a:moveTo>
                                <a:pt x="32319" y="57065"/>
                              </a:moveTo>
                              <a:lnTo>
                                <a:pt x="24751" y="57065"/>
                              </a:lnTo>
                              <a:lnTo>
                                <a:pt x="21111" y="56337"/>
                              </a:lnTo>
                              <a:lnTo>
                                <a:pt x="0" y="32316"/>
                              </a:lnTo>
                              <a:lnTo>
                                <a:pt x="0" y="24745"/>
                              </a:lnTo>
                              <a:lnTo>
                                <a:pt x="24751" y="0"/>
                              </a:lnTo>
                              <a:lnTo>
                                <a:pt x="32319" y="0"/>
                              </a:lnTo>
                              <a:lnTo>
                                <a:pt x="57070" y="28535"/>
                              </a:lnTo>
                              <a:lnTo>
                                <a:pt x="57070" y="32316"/>
                              </a:lnTo>
                              <a:lnTo>
                                <a:pt x="32319" y="57065"/>
                              </a:lnTo>
                              <a:close/>
                            </a:path>
                          </a:pathLst>
                        </a:custGeom>
                        <a:solidFill>
                          <a:srgbClr val="5C5C5C"/>
                        </a:solidFill>
                      </wps:spPr>
                      <wps:bodyPr wrap="square" lIns="0" tIns="0" rIns="0" bIns="0" rtlCol="0">
                        <a:prstTxWarp prst="textNoShape">
                          <a:avLst/>
                        </a:prstTxWarp>
                        <a:noAutofit/>
                      </wps:bodyPr>
                    </wps:wsp>
                  </a:graphicData>
                </a:graphic>
              </wp:anchor>
            </w:drawing>
          </mc:Choice>
          <mc:Fallback>
            <w:pict>
              <v:shape w14:anchorId="25B34025" id="Graphic 24" o:spid="_x0000_s1026" style="position:absolute;margin-left:64.45pt;margin-top:6.95pt;width:4.5pt;height:4.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" path="m32319,57065r-7568,l21111,56337,,32316,,24745,24751,r7568,l57070,28535r,3781l32319,57065xe" fillcolor="#5c5c5c" stroked="f">
                <v:path arrowok="t"/>
                <w10:wrap anchorx="page"/>
              </v:shape>
            </w:pict>
          </mc:Fallback>
        </mc:AlternateContent>
      </w:r>
      <w:r w:rsidRPr="00921E59">
        <w:rPr>
          <w:color w:val="0D0D0D"/>
        </w:rPr>
        <w:t>Loose</w:t>
      </w:r>
      <w:r w:rsidRPr="00921E59">
        <w:rPr>
          <w:color w:val="0D0D0D"/>
          <w:spacing w:val="-8"/>
        </w:rPr>
        <w:t xml:space="preserve"> </w:t>
      </w:r>
      <w:r w:rsidRPr="00921E59">
        <w:rPr>
          <w:color w:val="0D0D0D"/>
          <w:spacing w:val="-2"/>
        </w:rPr>
        <w:t>Enforcement:</w:t>
      </w:r>
    </w:p>
    <w:p w14:paraId="193A6E7D" w14:textId="77777777" w:rsidR="00921E59" w:rsidRPr="00921E59" w:rsidRDefault="00921E59" w:rsidP="00921E59">
      <w:pPr>
        <w:spacing w:before="282"/>
        <w:ind w:right="114"/>
        <w:jc w:val="center"/>
      </w:pPr>
      <w:r w:rsidRPr="00921E59">
        <w:rPr>
          <w:i/>
          <w:color w:val="0D0D0D"/>
          <w:w w:val="110"/>
        </w:rPr>
        <w:t>Y</w:t>
      </w:r>
      <w:r w:rsidRPr="00921E59">
        <w:rPr>
          <w:color w:val="0D0D0D"/>
          <w:w w:val="110"/>
          <w:vertAlign w:val="subscript"/>
        </w:rPr>
        <w:t>2025</w:t>
      </w:r>
      <w:r w:rsidRPr="00921E59">
        <w:rPr>
          <w:color w:val="0D0D0D"/>
          <w:spacing w:val="20"/>
          <w:w w:val="110"/>
        </w:rPr>
        <w:t xml:space="preserve"> </w:t>
      </w:r>
      <w:r w:rsidRPr="00921E59">
        <w:rPr>
          <w:color w:val="0D0D0D"/>
          <w:w w:val="110"/>
        </w:rPr>
        <w:t>=</w:t>
      </w:r>
      <w:r w:rsidRPr="00921E59">
        <w:rPr>
          <w:color w:val="0D0D0D"/>
          <w:spacing w:val="6"/>
          <w:w w:val="110"/>
        </w:rPr>
        <w:t xml:space="preserve"> </w:t>
      </w:r>
      <w:r w:rsidRPr="00921E59">
        <w:rPr>
          <w:color w:val="0D0D0D"/>
          <w:w w:val="110"/>
        </w:rPr>
        <w:t>30</w:t>
      </w:r>
      <w:r w:rsidRPr="00921E59">
        <w:rPr>
          <w:color w:val="0D0D0D"/>
          <w:spacing w:val="-11"/>
          <w:w w:val="110"/>
        </w:rPr>
        <w:t xml:space="preserve"> </w:t>
      </w:r>
      <w:r w:rsidRPr="00921E59">
        <w:rPr>
          <w:color w:val="0D0D0D"/>
          <w:w w:val="110"/>
        </w:rPr>
        <w:t>×</w:t>
      </w:r>
      <w:r w:rsidRPr="00921E59">
        <w:rPr>
          <w:color w:val="0D0D0D"/>
          <w:spacing w:val="-12"/>
          <w:w w:val="110"/>
        </w:rPr>
        <w:t xml:space="preserve"> </w:t>
      </w:r>
      <w:r w:rsidRPr="00921E59">
        <w:rPr>
          <w:color w:val="0D0D0D"/>
          <w:w w:val="110"/>
        </w:rPr>
        <w:t>(1</w:t>
      </w:r>
      <w:r w:rsidRPr="00921E59">
        <w:rPr>
          <w:color w:val="0D0D0D"/>
          <w:spacing w:val="-13"/>
          <w:w w:val="110"/>
        </w:rPr>
        <w:t xml:space="preserve"> </w:t>
      </w:r>
      <w:r w:rsidRPr="00921E59">
        <w:rPr>
          <w:color w:val="0D0D0D"/>
          <w:w w:val="110"/>
        </w:rPr>
        <w:t>+</w:t>
      </w:r>
      <w:r w:rsidRPr="00921E59">
        <w:rPr>
          <w:color w:val="0D0D0D"/>
          <w:spacing w:val="-12"/>
          <w:w w:val="110"/>
        </w:rPr>
        <w:t xml:space="preserve"> </w:t>
      </w:r>
      <w:r w:rsidRPr="00921E59">
        <w:rPr>
          <w:color w:val="0D0D0D"/>
          <w:w w:val="110"/>
        </w:rPr>
        <w:t>0.25</w:t>
      </w:r>
      <w:r w:rsidRPr="00921E59">
        <w:rPr>
          <w:color w:val="0D0D0D"/>
          <w:spacing w:val="-11"/>
          <w:w w:val="110"/>
        </w:rPr>
        <w:t xml:space="preserve"> </w:t>
      </w:r>
      <w:r w:rsidRPr="00921E59">
        <w:rPr>
          <w:color w:val="0D0D0D"/>
          <w:w w:val="110"/>
        </w:rPr>
        <w:t>×</w:t>
      </w:r>
      <w:r w:rsidRPr="00921E59">
        <w:rPr>
          <w:color w:val="0D0D0D"/>
          <w:spacing w:val="-12"/>
          <w:w w:val="110"/>
        </w:rPr>
        <w:t xml:space="preserve"> </w:t>
      </w:r>
      <w:r w:rsidRPr="00921E59">
        <w:rPr>
          <w:color w:val="0D0D0D"/>
          <w:w w:val="110"/>
        </w:rPr>
        <w:t>1.3)</w:t>
      </w:r>
      <w:r w:rsidRPr="00921E59">
        <w:rPr>
          <w:color w:val="0D0D0D"/>
          <w:spacing w:val="5"/>
          <w:w w:val="110"/>
        </w:rPr>
        <w:t xml:space="preserve"> </w:t>
      </w:r>
      <w:r w:rsidRPr="00921E59">
        <w:rPr>
          <w:color w:val="0D0D0D"/>
          <w:w w:val="110"/>
        </w:rPr>
        <w:t>=</w:t>
      </w:r>
      <w:r w:rsidRPr="00921E59">
        <w:rPr>
          <w:color w:val="0D0D0D"/>
          <w:spacing w:val="6"/>
          <w:w w:val="110"/>
        </w:rPr>
        <w:t xml:space="preserve"> </w:t>
      </w:r>
      <w:r w:rsidRPr="00921E59">
        <w:rPr>
          <w:color w:val="0D0D0D"/>
          <w:w w:val="110"/>
        </w:rPr>
        <w:t>30</w:t>
      </w:r>
      <w:r w:rsidRPr="00921E59">
        <w:rPr>
          <w:color w:val="0D0D0D"/>
          <w:spacing w:val="-11"/>
          <w:w w:val="110"/>
        </w:rPr>
        <w:t xml:space="preserve"> </w:t>
      </w:r>
      <w:r w:rsidRPr="00921E59">
        <w:rPr>
          <w:color w:val="0D0D0D"/>
          <w:w w:val="110"/>
        </w:rPr>
        <w:t>×</w:t>
      </w:r>
      <w:r w:rsidRPr="00921E59">
        <w:rPr>
          <w:color w:val="0D0D0D"/>
          <w:spacing w:val="-12"/>
          <w:w w:val="110"/>
        </w:rPr>
        <w:t xml:space="preserve"> </w:t>
      </w:r>
      <w:r w:rsidRPr="00921E59">
        <w:rPr>
          <w:color w:val="0D0D0D"/>
          <w:w w:val="110"/>
        </w:rPr>
        <w:t>1.325</w:t>
      </w:r>
      <w:r w:rsidRPr="00921E59">
        <w:rPr>
          <w:color w:val="0D0D0D"/>
          <w:spacing w:val="6"/>
          <w:w w:val="110"/>
        </w:rPr>
        <w:t xml:space="preserve"> </w:t>
      </w:r>
      <w:r w:rsidRPr="00921E59">
        <w:rPr>
          <w:color w:val="0D0D0D"/>
          <w:w w:val="110"/>
        </w:rPr>
        <w:t>=</w:t>
      </w:r>
      <w:r w:rsidRPr="00921E59">
        <w:rPr>
          <w:color w:val="0D0D0D"/>
          <w:spacing w:val="5"/>
          <w:w w:val="110"/>
        </w:rPr>
        <w:t xml:space="preserve"> </w:t>
      </w:r>
      <w:r w:rsidRPr="00921E59">
        <w:rPr>
          <w:color w:val="0D0D0D"/>
          <w:spacing w:val="-2"/>
          <w:w w:val="110"/>
        </w:rPr>
        <w:t>39.75</w:t>
      </w:r>
    </w:p>
    <w:p w14:paraId="71AD64F5" w14:textId="77777777" w:rsidR="00921E59" w:rsidRPr="00921E59" w:rsidRDefault="00921E59" w:rsidP="00921E59">
      <w:pPr>
        <w:pStyle w:val="TeksIsi"/>
        <w:spacing w:before="65"/>
      </w:pPr>
    </w:p>
    <w:p w14:paraId="6BBD5B4A" w14:textId="77777777" w:rsid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4. Step 4: Full 2025–2032 Projection Table</w:t>
      </w:r>
    </w:p>
    <w:p w14:paraId="5E64E639" w14:textId="5A5A3568" w:rsidR="00921E59" w:rsidRPr="00886B4B" w:rsidRDefault="00921E59" w:rsidP="00921E59">
      <w:pPr>
        <w:pBdr>
          <w:top w:val="nil"/>
          <w:left w:val="nil"/>
          <w:bottom w:val="nil"/>
          <w:right w:val="nil"/>
          <w:between w:val="nil"/>
        </w:pBdr>
        <w:spacing w:line="276" w:lineRule="auto"/>
        <w:jc w:val="center"/>
        <w:rPr>
          <w:b/>
          <w:bCs/>
          <w:color w:val="000000"/>
          <w:lang w:val="en-ID"/>
        </w:rPr>
      </w:pPr>
      <w:r w:rsidRPr="00921E59">
        <w:rPr>
          <w:b/>
          <w:bCs/>
          <w:color w:val="000000"/>
          <w:lang w:val="en-ID"/>
        </w:rPr>
        <w:t xml:space="preserve">Table </w:t>
      </w:r>
      <w:r w:rsidRPr="00886B4B">
        <w:rPr>
          <w:b/>
          <w:bCs/>
          <w:color w:val="000000"/>
          <w:lang w:val="en-ID"/>
        </w:rPr>
        <w:t>3</w:t>
      </w:r>
      <w:r w:rsidRPr="00921E59">
        <w:rPr>
          <w:b/>
          <w:bCs/>
          <w:color w:val="000000"/>
          <w:lang w:val="en-ID"/>
        </w:rPr>
        <w:t xml:space="preserve"> </w:t>
      </w:r>
      <w:r w:rsidRPr="00886B4B">
        <w:rPr>
          <w:b/>
          <w:bCs/>
          <w:color w:val="000000"/>
          <w:lang w:val="en-ID"/>
        </w:rPr>
        <w:t>Projection</w:t>
      </w:r>
      <w:r w:rsidRPr="00921E59">
        <w:rPr>
          <w:b/>
          <w:bCs/>
          <w:color w:val="000000"/>
          <w:lang w:val="en-ID"/>
        </w:rPr>
        <w:t xml:space="preserve"> </w:t>
      </w:r>
      <w:r w:rsidRPr="00886B4B">
        <w:rPr>
          <w:b/>
          <w:bCs/>
          <w:color w:val="000000"/>
          <w:lang w:val="en-ID"/>
        </w:rPr>
        <w:t>2025–2032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
        <w:gridCol w:w="1817"/>
        <w:gridCol w:w="2917"/>
        <w:gridCol w:w="2972"/>
      </w:tblGrid>
      <w:tr w:rsidR="00886B4B" w:rsidRPr="00886B4B" w14:paraId="60705C16" w14:textId="77777777" w:rsidTr="00921E59">
        <w:trPr>
          <w:tblHeader/>
          <w:tblCellSpacing w:w="15" w:type="dxa"/>
        </w:trPr>
        <w:tc>
          <w:tcPr>
            <w:tcW w:w="0" w:type="auto"/>
            <w:vAlign w:val="center"/>
            <w:hideMark/>
          </w:tcPr>
          <w:p w14:paraId="5A6412AD"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Year</w:t>
            </w:r>
          </w:p>
        </w:tc>
        <w:tc>
          <w:tcPr>
            <w:tcW w:w="0" w:type="auto"/>
            <w:vAlign w:val="center"/>
            <w:hideMark/>
          </w:tcPr>
          <w:p w14:paraId="4C2D6D29"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Baseline (M=1.0)</w:t>
            </w:r>
          </w:p>
        </w:tc>
        <w:tc>
          <w:tcPr>
            <w:tcW w:w="0" w:type="auto"/>
            <w:vAlign w:val="center"/>
            <w:hideMark/>
          </w:tcPr>
          <w:p w14:paraId="05C19078"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Tight Enforcement (M=0.6)</w:t>
            </w:r>
          </w:p>
        </w:tc>
        <w:tc>
          <w:tcPr>
            <w:tcW w:w="0" w:type="auto"/>
            <w:vAlign w:val="center"/>
            <w:hideMark/>
          </w:tcPr>
          <w:p w14:paraId="6DD00583"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Loose Enforcement (M=1.3)</w:t>
            </w:r>
          </w:p>
        </w:tc>
      </w:tr>
      <w:tr w:rsidR="00886B4B" w:rsidRPr="00886B4B" w14:paraId="19B41E4A" w14:textId="77777777" w:rsidTr="00921E59">
        <w:trPr>
          <w:tblCellSpacing w:w="15" w:type="dxa"/>
        </w:trPr>
        <w:tc>
          <w:tcPr>
            <w:tcW w:w="0" w:type="auto"/>
            <w:vAlign w:val="center"/>
            <w:hideMark/>
          </w:tcPr>
          <w:p w14:paraId="5189AE9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2025</w:t>
            </w:r>
          </w:p>
        </w:tc>
        <w:tc>
          <w:tcPr>
            <w:tcW w:w="0" w:type="auto"/>
            <w:vAlign w:val="center"/>
            <w:hideMark/>
          </w:tcPr>
          <w:p w14:paraId="29FC386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37.50</w:t>
            </w:r>
          </w:p>
        </w:tc>
        <w:tc>
          <w:tcPr>
            <w:tcW w:w="0" w:type="auto"/>
            <w:vAlign w:val="center"/>
            <w:hideMark/>
          </w:tcPr>
          <w:p w14:paraId="4C0C242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34.50</w:t>
            </w:r>
          </w:p>
        </w:tc>
        <w:tc>
          <w:tcPr>
            <w:tcW w:w="0" w:type="auto"/>
            <w:vAlign w:val="center"/>
            <w:hideMark/>
          </w:tcPr>
          <w:p w14:paraId="08D2CAA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39.75</w:t>
            </w:r>
          </w:p>
        </w:tc>
      </w:tr>
      <w:tr w:rsidR="00886B4B" w:rsidRPr="00886B4B" w14:paraId="077AB83E" w14:textId="77777777" w:rsidTr="00921E59">
        <w:trPr>
          <w:tblCellSpacing w:w="15" w:type="dxa"/>
        </w:trPr>
        <w:tc>
          <w:tcPr>
            <w:tcW w:w="0" w:type="auto"/>
            <w:vAlign w:val="center"/>
            <w:hideMark/>
          </w:tcPr>
          <w:p w14:paraId="2DFABF45"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2026</w:t>
            </w:r>
          </w:p>
        </w:tc>
        <w:tc>
          <w:tcPr>
            <w:tcW w:w="0" w:type="auto"/>
            <w:vAlign w:val="center"/>
            <w:hideMark/>
          </w:tcPr>
          <w:p w14:paraId="0788915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46.88</w:t>
            </w:r>
          </w:p>
        </w:tc>
        <w:tc>
          <w:tcPr>
            <w:tcW w:w="0" w:type="auto"/>
            <w:vAlign w:val="center"/>
            <w:hideMark/>
          </w:tcPr>
          <w:p w14:paraId="1D3D415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39.68</w:t>
            </w:r>
          </w:p>
        </w:tc>
        <w:tc>
          <w:tcPr>
            <w:tcW w:w="0" w:type="auto"/>
            <w:vAlign w:val="center"/>
            <w:hideMark/>
          </w:tcPr>
          <w:p w14:paraId="5200E5BF"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50.32</w:t>
            </w:r>
          </w:p>
        </w:tc>
      </w:tr>
      <w:tr w:rsidR="00886B4B" w:rsidRPr="00886B4B" w14:paraId="2F0FE414" w14:textId="77777777" w:rsidTr="00921E59">
        <w:trPr>
          <w:tblCellSpacing w:w="15" w:type="dxa"/>
        </w:trPr>
        <w:tc>
          <w:tcPr>
            <w:tcW w:w="0" w:type="auto"/>
            <w:vAlign w:val="center"/>
            <w:hideMark/>
          </w:tcPr>
          <w:p w14:paraId="09FACC9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2027</w:t>
            </w:r>
          </w:p>
        </w:tc>
        <w:tc>
          <w:tcPr>
            <w:tcW w:w="0" w:type="auto"/>
            <w:vAlign w:val="center"/>
            <w:hideMark/>
          </w:tcPr>
          <w:p w14:paraId="75865FF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58.59</w:t>
            </w:r>
          </w:p>
        </w:tc>
        <w:tc>
          <w:tcPr>
            <w:tcW w:w="0" w:type="auto"/>
            <w:vAlign w:val="center"/>
            <w:hideMark/>
          </w:tcPr>
          <w:p w14:paraId="3F1C74A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45.63</w:t>
            </w:r>
          </w:p>
        </w:tc>
        <w:tc>
          <w:tcPr>
            <w:tcW w:w="0" w:type="auto"/>
            <w:vAlign w:val="center"/>
            <w:hideMark/>
          </w:tcPr>
          <w:p w14:paraId="41B3F02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63.87</w:t>
            </w:r>
          </w:p>
        </w:tc>
      </w:tr>
      <w:tr w:rsidR="00886B4B" w:rsidRPr="00886B4B" w14:paraId="038EEEEF" w14:textId="77777777" w:rsidTr="00921E59">
        <w:trPr>
          <w:tblCellSpacing w:w="15" w:type="dxa"/>
        </w:trPr>
        <w:tc>
          <w:tcPr>
            <w:tcW w:w="0" w:type="auto"/>
            <w:vAlign w:val="center"/>
            <w:hideMark/>
          </w:tcPr>
          <w:p w14:paraId="0FAD8EB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2028</w:t>
            </w:r>
          </w:p>
        </w:tc>
        <w:tc>
          <w:tcPr>
            <w:tcW w:w="0" w:type="auto"/>
            <w:vAlign w:val="center"/>
            <w:hideMark/>
          </w:tcPr>
          <w:p w14:paraId="1047AAF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73.24</w:t>
            </w:r>
          </w:p>
        </w:tc>
        <w:tc>
          <w:tcPr>
            <w:tcW w:w="0" w:type="auto"/>
            <w:vAlign w:val="center"/>
            <w:hideMark/>
          </w:tcPr>
          <w:p w14:paraId="2877767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52.52</w:t>
            </w:r>
          </w:p>
        </w:tc>
        <w:tc>
          <w:tcPr>
            <w:tcW w:w="0" w:type="auto"/>
            <w:vAlign w:val="center"/>
            <w:hideMark/>
          </w:tcPr>
          <w:p w14:paraId="0A0882CF"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81.16</w:t>
            </w:r>
          </w:p>
        </w:tc>
      </w:tr>
      <w:tr w:rsidR="00886B4B" w:rsidRPr="00886B4B" w14:paraId="5D8699D7" w14:textId="77777777" w:rsidTr="00921E59">
        <w:trPr>
          <w:tblCellSpacing w:w="15" w:type="dxa"/>
        </w:trPr>
        <w:tc>
          <w:tcPr>
            <w:tcW w:w="0" w:type="auto"/>
            <w:vAlign w:val="center"/>
            <w:hideMark/>
          </w:tcPr>
          <w:p w14:paraId="1D70EEF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2029</w:t>
            </w:r>
          </w:p>
        </w:tc>
        <w:tc>
          <w:tcPr>
            <w:tcW w:w="0" w:type="auto"/>
            <w:vAlign w:val="center"/>
            <w:hideMark/>
          </w:tcPr>
          <w:p w14:paraId="108D212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91.55</w:t>
            </w:r>
          </w:p>
        </w:tc>
        <w:tc>
          <w:tcPr>
            <w:tcW w:w="0" w:type="auto"/>
            <w:vAlign w:val="center"/>
            <w:hideMark/>
          </w:tcPr>
          <w:p w14:paraId="113E76D8"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60.50</w:t>
            </w:r>
          </w:p>
        </w:tc>
        <w:tc>
          <w:tcPr>
            <w:tcW w:w="0" w:type="auto"/>
            <w:vAlign w:val="center"/>
            <w:hideMark/>
          </w:tcPr>
          <w:p w14:paraId="2461F87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103.05</w:t>
            </w:r>
          </w:p>
        </w:tc>
      </w:tr>
      <w:tr w:rsidR="00886B4B" w:rsidRPr="00886B4B" w14:paraId="1C4FA87D" w14:textId="77777777" w:rsidTr="00921E59">
        <w:trPr>
          <w:tblCellSpacing w:w="15" w:type="dxa"/>
        </w:trPr>
        <w:tc>
          <w:tcPr>
            <w:tcW w:w="0" w:type="auto"/>
            <w:vAlign w:val="center"/>
            <w:hideMark/>
          </w:tcPr>
          <w:p w14:paraId="0FC8C36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2030</w:t>
            </w:r>
          </w:p>
        </w:tc>
        <w:tc>
          <w:tcPr>
            <w:tcW w:w="0" w:type="auto"/>
            <w:vAlign w:val="center"/>
            <w:hideMark/>
          </w:tcPr>
          <w:p w14:paraId="23FDB272"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114.44</w:t>
            </w:r>
          </w:p>
        </w:tc>
        <w:tc>
          <w:tcPr>
            <w:tcW w:w="0" w:type="auto"/>
            <w:vAlign w:val="center"/>
            <w:hideMark/>
          </w:tcPr>
          <w:p w14:paraId="56B37955"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69.55</w:t>
            </w:r>
          </w:p>
        </w:tc>
        <w:tc>
          <w:tcPr>
            <w:tcW w:w="0" w:type="auto"/>
            <w:vAlign w:val="center"/>
            <w:hideMark/>
          </w:tcPr>
          <w:p w14:paraId="3E429B61"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130.40</w:t>
            </w:r>
          </w:p>
        </w:tc>
      </w:tr>
      <w:tr w:rsidR="00886B4B" w:rsidRPr="00886B4B" w14:paraId="04610D80" w14:textId="77777777" w:rsidTr="00921E59">
        <w:trPr>
          <w:tblCellSpacing w:w="15" w:type="dxa"/>
        </w:trPr>
        <w:tc>
          <w:tcPr>
            <w:tcW w:w="0" w:type="auto"/>
            <w:vAlign w:val="center"/>
            <w:hideMark/>
          </w:tcPr>
          <w:p w14:paraId="36FF8B7E"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2031</w:t>
            </w:r>
          </w:p>
        </w:tc>
        <w:tc>
          <w:tcPr>
            <w:tcW w:w="0" w:type="auto"/>
            <w:vAlign w:val="center"/>
            <w:hideMark/>
          </w:tcPr>
          <w:p w14:paraId="04973093"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143.05</w:t>
            </w:r>
          </w:p>
        </w:tc>
        <w:tc>
          <w:tcPr>
            <w:tcW w:w="0" w:type="auto"/>
            <w:vAlign w:val="center"/>
            <w:hideMark/>
          </w:tcPr>
          <w:p w14:paraId="372F3C0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79.98</w:t>
            </w:r>
          </w:p>
        </w:tc>
        <w:tc>
          <w:tcPr>
            <w:tcW w:w="0" w:type="auto"/>
            <w:vAlign w:val="center"/>
            <w:hideMark/>
          </w:tcPr>
          <w:p w14:paraId="2A1F0DC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165.02</w:t>
            </w:r>
          </w:p>
        </w:tc>
      </w:tr>
      <w:tr w:rsidR="00886B4B" w:rsidRPr="00886B4B" w14:paraId="0D92B021" w14:textId="77777777" w:rsidTr="00921E59">
        <w:trPr>
          <w:tblCellSpacing w:w="15" w:type="dxa"/>
        </w:trPr>
        <w:tc>
          <w:tcPr>
            <w:tcW w:w="0" w:type="auto"/>
            <w:vAlign w:val="center"/>
            <w:hideMark/>
          </w:tcPr>
          <w:p w14:paraId="1A4F986E"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2032</w:t>
            </w:r>
          </w:p>
        </w:tc>
        <w:tc>
          <w:tcPr>
            <w:tcW w:w="0" w:type="auto"/>
            <w:vAlign w:val="center"/>
            <w:hideMark/>
          </w:tcPr>
          <w:p w14:paraId="7A977EE3"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178.81</w:t>
            </w:r>
          </w:p>
        </w:tc>
        <w:tc>
          <w:tcPr>
            <w:tcW w:w="0" w:type="auto"/>
            <w:vAlign w:val="center"/>
            <w:hideMark/>
          </w:tcPr>
          <w:p w14:paraId="20EBBCE2"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91.97</w:t>
            </w:r>
          </w:p>
        </w:tc>
        <w:tc>
          <w:tcPr>
            <w:tcW w:w="0" w:type="auto"/>
            <w:vAlign w:val="center"/>
            <w:hideMark/>
          </w:tcPr>
          <w:p w14:paraId="0EB9EBAB"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208.77</w:t>
            </w:r>
          </w:p>
        </w:tc>
      </w:tr>
    </w:tbl>
    <w:p w14:paraId="4F7B8D85" w14:textId="530B631F" w:rsidR="00886B4B" w:rsidRDefault="00921E59" w:rsidP="00921E59">
      <w:pPr>
        <w:pBdr>
          <w:top w:val="nil"/>
          <w:left w:val="nil"/>
          <w:bottom w:val="nil"/>
          <w:right w:val="nil"/>
          <w:between w:val="nil"/>
        </w:pBdr>
        <w:spacing w:line="276" w:lineRule="auto"/>
        <w:jc w:val="center"/>
        <w:rPr>
          <w:color w:val="000000"/>
          <w:lang w:val="en-ID"/>
        </w:rPr>
      </w:pPr>
      <w:proofErr w:type="gramStart"/>
      <w:r>
        <w:rPr>
          <w:color w:val="000000"/>
        </w:rPr>
        <w:t>Source :</w:t>
      </w:r>
      <w:proofErr w:type="gramEnd"/>
      <w:r>
        <w:rPr>
          <w:color w:val="000000"/>
        </w:rPr>
        <w:t xml:space="preserve"> </w:t>
      </w:r>
      <w:r w:rsidRPr="00921E59">
        <w:rPr>
          <w:color w:val="000000"/>
        </w:rPr>
        <w:t>Research Team on Fisheries Policy. (2025).</w:t>
      </w:r>
    </w:p>
    <w:p w14:paraId="5A3C54D5" w14:textId="77777777" w:rsidR="00921E59" w:rsidRPr="00886B4B" w:rsidRDefault="00921E59" w:rsidP="00886B4B">
      <w:pPr>
        <w:pBdr>
          <w:top w:val="nil"/>
          <w:left w:val="nil"/>
          <w:bottom w:val="nil"/>
          <w:right w:val="nil"/>
          <w:between w:val="nil"/>
        </w:pBdr>
        <w:spacing w:line="276" w:lineRule="auto"/>
        <w:jc w:val="both"/>
        <w:rPr>
          <w:color w:val="000000"/>
          <w:lang w:val="en-ID"/>
        </w:rPr>
      </w:pPr>
    </w:p>
    <w:p w14:paraId="51F1159C"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5. Step 5: Interpretation</w:t>
      </w:r>
    </w:p>
    <w:p w14:paraId="239E12A2" w14:textId="77777777" w:rsidR="00921E59" w:rsidRPr="00921E59" w:rsidRDefault="00921E59" w:rsidP="00921E59">
      <w:pPr>
        <w:pBdr>
          <w:top w:val="nil"/>
          <w:left w:val="nil"/>
          <w:bottom w:val="nil"/>
          <w:right w:val="nil"/>
          <w:between w:val="nil"/>
        </w:pBdr>
        <w:tabs>
          <w:tab w:val="left" w:pos="426"/>
        </w:tabs>
        <w:spacing w:line="276" w:lineRule="auto"/>
        <w:ind w:firstLine="709"/>
        <w:jc w:val="both"/>
        <w:rPr>
          <w:color w:val="000000"/>
          <w:lang w:val="en-ID"/>
        </w:rPr>
      </w:pPr>
      <w:r w:rsidRPr="00921E59">
        <w:rPr>
          <w:color w:val="000000"/>
          <w:lang w:val="en-ID"/>
        </w:rPr>
        <w:t xml:space="preserve">The projections of </w:t>
      </w:r>
      <w:proofErr w:type="spellStart"/>
      <w:r w:rsidRPr="00921E59">
        <w:rPr>
          <w:color w:val="000000"/>
          <w:lang w:val="en-ID"/>
        </w:rPr>
        <w:t>benur</w:t>
      </w:r>
      <w:proofErr w:type="spellEnd"/>
      <w:r w:rsidRPr="00921E59">
        <w:rPr>
          <w:color w:val="000000"/>
          <w:lang w:val="en-ID"/>
        </w:rPr>
        <w:t xml:space="preserve"> smuggling from 2025 to 2032 highlight distinct outcomes under different regulatory and enforcement scenarios. Under the baseline scenario, smuggling is expected to grow steadily, reflecting the continuation of current regulatory and enforcement practices (Research Team on Fisheries Policy, 2025). This gradual increase indicates that without significant policy intervention, illegal lobster seed trade will continue to rise, putting pressure on both natural lobster populations and the legal aquaculture sector.</w:t>
      </w:r>
    </w:p>
    <w:p w14:paraId="023D860E" w14:textId="77777777" w:rsidR="00921E59" w:rsidRPr="00921E59" w:rsidRDefault="00921E59" w:rsidP="00921E59">
      <w:pPr>
        <w:pBdr>
          <w:top w:val="nil"/>
          <w:left w:val="nil"/>
          <w:bottom w:val="nil"/>
          <w:right w:val="nil"/>
          <w:between w:val="nil"/>
        </w:pBdr>
        <w:tabs>
          <w:tab w:val="left" w:pos="426"/>
        </w:tabs>
        <w:spacing w:line="276" w:lineRule="auto"/>
        <w:ind w:firstLine="709"/>
        <w:jc w:val="both"/>
        <w:rPr>
          <w:color w:val="000000"/>
          <w:lang w:val="en-ID"/>
        </w:rPr>
      </w:pPr>
      <w:r w:rsidRPr="00921E59">
        <w:rPr>
          <w:color w:val="000000"/>
          <w:lang w:val="en-ID"/>
        </w:rPr>
        <w:t>In the tight enforcement scenario, the growth of smuggling slows markedly. By combining high regulatory stringency with effective law enforcement, the projections demonstrate that stricter oversight and coordinated enforcement actions can significantly mitigate the expansion of illegal activities. This scenario underscores the importance of robust institutional frameworks and interagency collaboration to curb unlawful practices (Expert Panel, 2024).</w:t>
      </w:r>
    </w:p>
    <w:p w14:paraId="0D4C7937" w14:textId="77777777" w:rsidR="00921E59" w:rsidRPr="00921E59" w:rsidRDefault="00921E59" w:rsidP="00921E59">
      <w:pPr>
        <w:pBdr>
          <w:top w:val="nil"/>
          <w:left w:val="nil"/>
          <w:bottom w:val="nil"/>
          <w:right w:val="nil"/>
          <w:between w:val="nil"/>
        </w:pBdr>
        <w:tabs>
          <w:tab w:val="left" w:pos="426"/>
        </w:tabs>
        <w:spacing w:line="276" w:lineRule="auto"/>
        <w:ind w:firstLine="709"/>
        <w:jc w:val="both"/>
        <w:rPr>
          <w:color w:val="000000"/>
          <w:lang w:val="en-ID"/>
        </w:rPr>
      </w:pPr>
      <w:r w:rsidRPr="00921E59">
        <w:rPr>
          <w:color w:val="000000"/>
          <w:lang w:val="en-ID"/>
        </w:rPr>
        <w:t>Conversely, the loose enforcement scenario reveals a rapid escalation of smuggling. When regulatory measures are weak and enforcement is minimal, coupled with rising market demand, illegal trade is projected to surge sharply. This scenario illustrates the vulnerabilities of the current system to exploitation and highlights the potential consequences of insufficient regulatory attention and enforcement capacity (Expert Panel, 2024; Research Team on Fisheries Policy, 2025).</w:t>
      </w:r>
    </w:p>
    <w:p w14:paraId="49D2FA50" w14:textId="77777777" w:rsidR="00921E59" w:rsidRPr="00921E59" w:rsidRDefault="00921E59" w:rsidP="00921E59">
      <w:pPr>
        <w:pBdr>
          <w:top w:val="nil"/>
          <w:left w:val="nil"/>
          <w:bottom w:val="nil"/>
          <w:right w:val="nil"/>
          <w:between w:val="nil"/>
        </w:pBdr>
        <w:tabs>
          <w:tab w:val="left" w:pos="426"/>
        </w:tabs>
        <w:spacing w:line="276" w:lineRule="auto"/>
        <w:ind w:firstLine="709"/>
        <w:jc w:val="both"/>
        <w:rPr>
          <w:color w:val="000000"/>
          <w:lang w:val="en-ID"/>
        </w:rPr>
      </w:pPr>
      <w:r w:rsidRPr="00921E59">
        <w:rPr>
          <w:color w:val="000000"/>
          <w:lang w:val="en-ID"/>
        </w:rPr>
        <w:lastRenderedPageBreak/>
        <w:t>These scenario-based projections serve as crucial tools for policymakers, enabling anticipatory action rather than reactive measures. By understanding potential futures under varying levels of enforcement, authorities can design targeted interventions to prevent escalation, such as improving coordination between law enforcement agencies, enhancing monitoring of coastal areas, and tightening controls on the market demand for lobster seeds.</w:t>
      </w:r>
    </w:p>
    <w:p w14:paraId="3DD9BCE6" w14:textId="77777777" w:rsidR="00921E59" w:rsidRPr="00921E59" w:rsidRDefault="00921E59" w:rsidP="00921E59">
      <w:pPr>
        <w:pBdr>
          <w:top w:val="nil"/>
          <w:left w:val="nil"/>
          <w:bottom w:val="nil"/>
          <w:right w:val="nil"/>
          <w:between w:val="nil"/>
        </w:pBdr>
        <w:tabs>
          <w:tab w:val="left" w:pos="426"/>
        </w:tabs>
        <w:spacing w:line="276" w:lineRule="auto"/>
        <w:ind w:firstLine="709"/>
        <w:jc w:val="both"/>
        <w:rPr>
          <w:color w:val="000000"/>
          <w:lang w:val="en-ID"/>
        </w:rPr>
      </w:pPr>
      <w:r w:rsidRPr="00921E59">
        <w:rPr>
          <w:color w:val="000000"/>
          <w:lang w:val="en-ID"/>
        </w:rPr>
        <w:t xml:space="preserve">In summary, the analysis of projected </w:t>
      </w:r>
      <w:proofErr w:type="spellStart"/>
      <w:r w:rsidRPr="00921E59">
        <w:rPr>
          <w:color w:val="000000"/>
          <w:lang w:val="en-ID"/>
        </w:rPr>
        <w:t>benur</w:t>
      </w:r>
      <w:proofErr w:type="spellEnd"/>
      <w:r w:rsidRPr="00921E59">
        <w:rPr>
          <w:color w:val="000000"/>
          <w:lang w:val="en-ID"/>
        </w:rPr>
        <w:t xml:space="preserve"> smuggling volumes emphasizes the critical role of regulatory stringency and enforcement effectiveness in shaping future outcomes. Strategic planning based on these projections allows Indonesia to proactively address illegal lobster seed trade, balancing ecological sustainability with economic interests in aquaculture, while reducing risks to national fisheries governance (Expert Panel, 2024; Research Team on Fisheries Policy, 2025).</w:t>
      </w:r>
    </w:p>
    <w:p w14:paraId="529BC7DD" w14:textId="77777777" w:rsidR="00921E59" w:rsidRDefault="00921E59" w:rsidP="00886B4B">
      <w:pPr>
        <w:pBdr>
          <w:top w:val="nil"/>
          <w:left w:val="nil"/>
          <w:bottom w:val="nil"/>
          <w:right w:val="nil"/>
          <w:between w:val="nil"/>
        </w:pBdr>
        <w:spacing w:line="276" w:lineRule="auto"/>
        <w:jc w:val="both"/>
        <w:rPr>
          <w:color w:val="000000"/>
          <w:lang w:val="en-ID"/>
        </w:rPr>
      </w:pPr>
    </w:p>
    <w:p w14:paraId="5C90C07E" w14:textId="066FB3DD" w:rsidR="00886B4B" w:rsidRPr="00886B4B" w:rsidRDefault="00886B4B" w:rsidP="00886B4B">
      <w:pPr>
        <w:pBdr>
          <w:top w:val="nil"/>
          <w:left w:val="nil"/>
          <w:bottom w:val="nil"/>
          <w:right w:val="nil"/>
          <w:between w:val="nil"/>
        </w:pBdr>
        <w:spacing w:line="276" w:lineRule="auto"/>
        <w:jc w:val="both"/>
        <w:rPr>
          <w:color w:val="000000"/>
          <w:lang w:val="en-ID"/>
        </w:rPr>
      </w:pPr>
    </w:p>
    <w:p w14:paraId="38358F52"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6. Step 6: Notes on Validity &amp; Reliability</w:t>
      </w:r>
    </w:p>
    <w:p w14:paraId="086DCE9E" w14:textId="77777777" w:rsidR="00921E59" w:rsidRPr="00921E59" w:rsidRDefault="00921E59" w:rsidP="00921E59">
      <w:pPr>
        <w:pBdr>
          <w:top w:val="nil"/>
          <w:left w:val="nil"/>
          <w:bottom w:val="nil"/>
          <w:right w:val="nil"/>
          <w:between w:val="nil"/>
        </w:pBdr>
        <w:spacing w:line="276" w:lineRule="auto"/>
        <w:ind w:firstLine="709"/>
        <w:jc w:val="both"/>
        <w:rPr>
          <w:color w:val="000000"/>
          <w:lang w:val="en-ID"/>
        </w:rPr>
      </w:pPr>
      <w:r w:rsidRPr="00921E59">
        <w:rPr>
          <w:color w:val="000000"/>
          <w:lang w:val="en-ID"/>
        </w:rPr>
        <w:t xml:space="preserve">The projection methodology for </w:t>
      </w:r>
      <w:proofErr w:type="spellStart"/>
      <w:r w:rsidRPr="00921E59">
        <w:rPr>
          <w:color w:val="000000"/>
          <w:lang w:val="en-ID"/>
        </w:rPr>
        <w:t>benur</w:t>
      </w:r>
      <w:proofErr w:type="spellEnd"/>
      <w:r w:rsidRPr="00921E59">
        <w:rPr>
          <w:color w:val="000000"/>
          <w:lang w:val="en-ID"/>
        </w:rPr>
        <w:t xml:space="preserve"> smuggling relies on a combination of expert judgment and historical data to ensure credibility and accuracy. The Delphi method was employed to establish consensus among experts regarding the impact multipliers (MM) for each independent variable, including regulatory stringency, law enforcement effectiveness, and market demand. This consensus ensures that the applied multipliers are both credible and reflective of expert expectations, providing a robust basis for scenario-based forecasting (Expert Panel, 2024).</w:t>
      </w:r>
    </w:p>
    <w:p w14:paraId="779C384B" w14:textId="77777777" w:rsidR="00921E59" w:rsidRDefault="00921E59" w:rsidP="00921E59">
      <w:pPr>
        <w:pBdr>
          <w:top w:val="nil"/>
          <w:left w:val="nil"/>
          <w:bottom w:val="nil"/>
          <w:right w:val="nil"/>
          <w:between w:val="nil"/>
        </w:pBdr>
        <w:spacing w:line="276" w:lineRule="auto"/>
        <w:ind w:firstLine="709"/>
        <w:jc w:val="both"/>
        <w:rPr>
          <w:color w:val="000000"/>
          <w:lang w:val="en-ID"/>
        </w:rPr>
      </w:pPr>
      <w:r w:rsidRPr="00921E59">
        <w:rPr>
          <w:color w:val="000000"/>
          <w:lang w:val="en-ID"/>
        </w:rPr>
        <w:t xml:space="preserve">Historical data on </w:t>
      </w:r>
      <w:proofErr w:type="spellStart"/>
      <w:r w:rsidRPr="00921E59">
        <w:rPr>
          <w:color w:val="000000"/>
          <w:lang w:val="en-ID"/>
        </w:rPr>
        <w:t>benur</w:t>
      </w:r>
      <w:proofErr w:type="spellEnd"/>
      <w:r w:rsidRPr="00921E59">
        <w:rPr>
          <w:color w:val="000000"/>
          <w:lang w:val="en-ID"/>
        </w:rPr>
        <w:t xml:space="preserve"> smuggling from 2020 to 2024 was triangulated from government reports, law enforcement records, and investigative studies to determine the baseline growth rate (gg). The annual growth of smuggling under current conditions averaged approximately 20%, calculated as:</w:t>
      </w:r>
    </w:p>
    <w:p w14:paraId="677CD65E" w14:textId="0745527A" w:rsidR="00A218B2" w:rsidRPr="00921E59" w:rsidRDefault="00A218B2" w:rsidP="00A218B2">
      <w:pPr>
        <w:pBdr>
          <w:top w:val="nil"/>
          <w:left w:val="nil"/>
          <w:bottom w:val="nil"/>
          <w:right w:val="nil"/>
          <w:between w:val="nil"/>
        </w:pBdr>
        <w:spacing w:line="276" w:lineRule="auto"/>
        <w:jc w:val="both"/>
        <w:rPr>
          <w:color w:val="000000"/>
          <w:lang w:val="en-ID"/>
        </w:rPr>
      </w:pPr>
      <w:r w:rsidRPr="00A218B2">
        <w:rPr>
          <w:noProof/>
          <w:color w:val="000000"/>
          <w:lang w:val="en-ID"/>
        </w:rPr>
        <w:drawing>
          <wp:inline distT="0" distB="0" distL="0" distR="0" wp14:anchorId="0979D2CD" wp14:editId="34C9E451">
            <wp:extent cx="3911889" cy="453081"/>
            <wp:effectExtent l="0" t="0" r="0" b="4445"/>
            <wp:docPr id="859314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14792" name=""/>
                    <pic:cNvPicPr/>
                  </pic:nvPicPr>
                  <pic:blipFill rotWithShape="1">
                    <a:blip r:embed="rId13"/>
                    <a:srcRect l="40282" t="45148" r="16228" b="46794"/>
                    <a:stretch>
                      <a:fillRect/>
                    </a:stretch>
                  </pic:blipFill>
                  <pic:spPr bwMode="auto">
                    <a:xfrm>
                      <a:off x="0" y="0"/>
                      <a:ext cx="3978488" cy="460795"/>
                    </a:xfrm>
                    <a:prstGeom prst="rect">
                      <a:avLst/>
                    </a:prstGeom>
                    <a:ln>
                      <a:noFill/>
                    </a:ln>
                    <a:extLst>
                      <a:ext uri="{53640926-AAD7-44D8-BBD7-CCE9431645EC}">
                        <a14:shadowObscured xmlns:a14="http://schemas.microsoft.com/office/drawing/2010/main"/>
                      </a:ext>
                    </a:extLst>
                  </pic:spPr>
                </pic:pic>
              </a:graphicData>
            </a:graphic>
          </wp:inline>
        </w:drawing>
      </w:r>
    </w:p>
    <w:p w14:paraId="1458DEC0" w14:textId="77777777" w:rsidR="00921E59" w:rsidRPr="00921E59" w:rsidRDefault="00921E59" w:rsidP="00921E59">
      <w:pPr>
        <w:pBdr>
          <w:top w:val="nil"/>
          <w:left w:val="nil"/>
          <w:bottom w:val="nil"/>
          <w:right w:val="nil"/>
          <w:between w:val="nil"/>
        </w:pBdr>
        <w:spacing w:line="276" w:lineRule="auto"/>
        <w:ind w:firstLine="709"/>
        <w:jc w:val="both"/>
        <w:rPr>
          <w:color w:val="000000"/>
          <w:lang w:val="en-ID"/>
        </w:rPr>
      </w:pPr>
      <w:r w:rsidRPr="00921E59">
        <w:rPr>
          <w:color w:val="000000"/>
          <w:lang w:val="en-ID"/>
        </w:rPr>
        <w:t>This triangulated baseline ensures that projections start from a realistic foundation, avoiding over- or under-estimation of future illegal trade volumes.</w:t>
      </w:r>
    </w:p>
    <w:p w14:paraId="306621B3" w14:textId="77777777" w:rsidR="00921E59" w:rsidRDefault="00921E59" w:rsidP="00921E59">
      <w:pPr>
        <w:pBdr>
          <w:top w:val="nil"/>
          <w:left w:val="nil"/>
          <w:bottom w:val="nil"/>
          <w:right w:val="nil"/>
          <w:between w:val="nil"/>
        </w:pBdr>
        <w:spacing w:line="276" w:lineRule="auto"/>
        <w:ind w:firstLine="709"/>
        <w:jc w:val="both"/>
        <w:rPr>
          <w:color w:val="000000"/>
          <w:lang w:val="en-ID"/>
        </w:rPr>
      </w:pPr>
      <w:r w:rsidRPr="00921E59">
        <w:rPr>
          <w:color w:val="000000"/>
          <w:lang w:val="en-ID"/>
        </w:rPr>
        <w:t>To compute scenario projections, the baseline growth rate is multiplied by the expert-estimated multipliers (MM) for each scenario. For example, in 2025, the projected volume under tight enforcement (MM = 0.6) is calculated as:</w:t>
      </w:r>
    </w:p>
    <w:p w14:paraId="27BD3567" w14:textId="27DE116C" w:rsidR="00A218B2" w:rsidRPr="00921E59" w:rsidRDefault="00A218B2" w:rsidP="00A218B2">
      <w:pPr>
        <w:pBdr>
          <w:top w:val="nil"/>
          <w:left w:val="nil"/>
          <w:bottom w:val="nil"/>
          <w:right w:val="nil"/>
          <w:between w:val="nil"/>
        </w:pBdr>
        <w:spacing w:line="276" w:lineRule="auto"/>
        <w:jc w:val="both"/>
        <w:rPr>
          <w:color w:val="000000"/>
          <w:lang w:val="en-ID"/>
        </w:rPr>
      </w:pPr>
      <w:r w:rsidRPr="00A218B2">
        <w:rPr>
          <w:noProof/>
          <w:color w:val="000000"/>
          <w:lang w:val="en-ID"/>
        </w:rPr>
        <w:drawing>
          <wp:inline distT="0" distB="0" distL="0" distR="0" wp14:anchorId="0D4F3361" wp14:editId="0F625881">
            <wp:extent cx="4226458" cy="774357"/>
            <wp:effectExtent l="0" t="0" r="3175" b="6985"/>
            <wp:docPr id="166394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49679" name=""/>
                    <pic:cNvPicPr/>
                  </pic:nvPicPr>
                  <pic:blipFill rotWithShape="1">
                    <a:blip r:embed="rId14"/>
                    <a:srcRect l="34322" t="37582" r="14876" b="47527"/>
                    <a:stretch>
                      <a:fillRect/>
                    </a:stretch>
                  </pic:blipFill>
                  <pic:spPr bwMode="auto">
                    <a:xfrm>
                      <a:off x="0" y="0"/>
                      <a:ext cx="4259923" cy="780488"/>
                    </a:xfrm>
                    <a:prstGeom prst="rect">
                      <a:avLst/>
                    </a:prstGeom>
                    <a:ln>
                      <a:noFill/>
                    </a:ln>
                    <a:extLst>
                      <a:ext uri="{53640926-AAD7-44D8-BBD7-CCE9431645EC}">
                        <a14:shadowObscured xmlns:a14="http://schemas.microsoft.com/office/drawing/2010/main"/>
                      </a:ext>
                    </a:extLst>
                  </pic:spPr>
                </pic:pic>
              </a:graphicData>
            </a:graphic>
          </wp:inline>
        </w:drawing>
      </w:r>
    </w:p>
    <w:p w14:paraId="093FE63B" w14:textId="77777777" w:rsidR="00921E59" w:rsidRPr="00921E59" w:rsidRDefault="00921E59" w:rsidP="00921E59">
      <w:pPr>
        <w:pBdr>
          <w:top w:val="nil"/>
          <w:left w:val="nil"/>
          <w:bottom w:val="nil"/>
          <w:right w:val="nil"/>
          <w:between w:val="nil"/>
        </w:pBdr>
        <w:spacing w:line="276" w:lineRule="auto"/>
        <w:ind w:firstLine="709"/>
        <w:jc w:val="both"/>
        <w:rPr>
          <w:color w:val="000000"/>
          <w:lang w:val="en-ID"/>
        </w:rPr>
      </w:pPr>
      <w:r w:rsidRPr="00921E59">
        <w:rPr>
          <w:color w:val="000000"/>
          <w:lang w:val="en-ID"/>
        </w:rPr>
        <w:t xml:space="preserve">To improve robustness, repeated simulations or sensitivity analyses, such as Monte Carlo runs, can be conducted to incorporate uncertainties of ±10–15% in growth rates and multipliers. This process accounts for variability in expert judgment and historical trends, providing policymakers with confidence intervals around projected volumes. By combining Delphi consensus, triangulated historical data, and repeated </w:t>
      </w:r>
      <w:r w:rsidRPr="00921E59">
        <w:rPr>
          <w:color w:val="000000"/>
          <w:lang w:val="en-ID"/>
        </w:rPr>
        <w:lastRenderedPageBreak/>
        <w:t>simulations, the methodology ensures projections are both credible and actionable for designing enforcement and regulatory interventions.</w:t>
      </w:r>
    </w:p>
    <w:p w14:paraId="04E6FA7F" w14:textId="77777777" w:rsidR="00886B4B" w:rsidRDefault="00886B4B" w:rsidP="00EE6905">
      <w:pPr>
        <w:pBdr>
          <w:top w:val="nil"/>
          <w:left w:val="nil"/>
          <w:bottom w:val="nil"/>
          <w:right w:val="nil"/>
          <w:between w:val="nil"/>
        </w:pBdr>
        <w:spacing w:line="276" w:lineRule="auto"/>
        <w:jc w:val="both"/>
        <w:rPr>
          <w:color w:val="000000"/>
        </w:rPr>
      </w:pPr>
    </w:p>
    <w:p w14:paraId="7CB15833" w14:textId="628CDB57" w:rsidR="00921E59" w:rsidRDefault="00921E59" w:rsidP="006B57A4">
      <w:pPr>
        <w:pBdr>
          <w:top w:val="nil"/>
          <w:left w:val="nil"/>
          <w:bottom w:val="nil"/>
          <w:right w:val="nil"/>
          <w:between w:val="nil"/>
        </w:pBdr>
        <w:spacing w:line="276" w:lineRule="auto"/>
        <w:jc w:val="both"/>
        <w:rPr>
          <w:color w:val="000000"/>
          <w:lang w:val="en-ID"/>
        </w:rPr>
      </w:pPr>
      <w:r w:rsidRPr="00886B4B">
        <w:rPr>
          <w:color w:val="000000"/>
          <w:lang w:val="en-ID"/>
        </w:rPr>
        <w:t>7.</w:t>
      </w:r>
      <w:r w:rsidRPr="00921E59">
        <w:rPr>
          <w:b/>
          <w:bCs/>
          <w:color w:val="000000"/>
          <w:lang w:val="en-ID"/>
        </w:rPr>
        <w:t xml:space="preserve"> </w:t>
      </w:r>
      <w:r w:rsidRPr="006B57A4">
        <w:rPr>
          <w:b/>
          <w:bCs/>
          <w:color w:val="000000"/>
          <w:lang w:val="en-ID"/>
        </w:rPr>
        <w:t>Forecasting Analysis Results</w:t>
      </w:r>
    </w:p>
    <w:p w14:paraId="4B9C63AA" w14:textId="393E8D87" w:rsidR="00921E59" w:rsidRPr="00921E59" w:rsidRDefault="00921E59" w:rsidP="00921E59">
      <w:pPr>
        <w:pBdr>
          <w:top w:val="nil"/>
          <w:left w:val="nil"/>
          <w:bottom w:val="nil"/>
          <w:right w:val="nil"/>
          <w:between w:val="nil"/>
        </w:pBdr>
        <w:spacing w:line="276" w:lineRule="auto"/>
        <w:jc w:val="center"/>
        <w:rPr>
          <w:b/>
          <w:bCs/>
          <w:color w:val="000000"/>
          <w:lang w:val="en-ID"/>
        </w:rPr>
      </w:pPr>
      <w:r w:rsidRPr="00921E59">
        <w:rPr>
          <w:b/>
          <w:bCs/>
          <w:color w:val="000000"/>
          <w:lang w:val="en-ID"/>
        </w:rPr>
        <w:t xml:space="preserve">Table </w:t>
      </w:r>
      <w:r w:rsidRPr="00886B4B">
        <w:rPr>
          <w:b/>
          <w:bCs/>
          <w:color w:val="000000"/>
          <w:lang w:val="en-ID"/>
        </w:rPr>
        <w:t>4</w:t>
      </w:r>
      <w:r w:rsidRPr="00921E59">
        <w:rPr>
          <w:b/>
          <w:bCs/>
          <w:color w:val="000000"/>
          <w:lang w:val="en-ID"/>
        </w:rPr>
        <w:t xml:space="preserve"> </w:t>
      </w:r>
      <w:r w:rsidRPr="006B57A4">
        <w:rPr>
          <w:b/>
          <w:bCs/>
          <w:color w:val="000000"/>
          <w:lang w:val="en-ID"/>
        </w:rPr>
        <w:t>Forecasting Analysis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3"/>
        <w:gridCol w:w="1070"/>
        <w:gridCol w:w="984"/>
        <w:gridCol w:w="1003"/>
        <w:gridCol w:w="966"/>
        <w:gridCol w:w="691"/>
        <w:gridCol w:w="710"/>
        <w:gridCol w:w="973"/>
        <w:gridCol w:w="730"/>
        <w:gridCol w:w="765"/>
      </w:tblGrid>
      <w:tr w:rsidR="00921E59" w:rsidRPr="00886B4B" w14:paraId="5D0A3E38" w14:textId="77777777" w:rsidTr="00921E59">
        <w:trPr>
          <w:tblHeader/>
          <w:tblCellSpacing w:w="15" w:type="dxa"/>
        </w:trPr>
        <w:tc>
          <w:tcPr>
            <w:tcW w:w="0" w:type="auto"/>
            <w:vAlign w:val="center"/>
            <w:hideMark/>
          </w:tcPr>
          <w:p w14:paraId="24651D3D"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Year</w:t>
            </w:r>
          </w:p>
        </w:tc>
        <w:tc>
          <w:tcPr>
            <w:tcW w:w="0" w:type="auto"/>
            <w:vAlign w:val="center"/>
            <w:hideMark/>
          </w:tcPr>
          <w:p w14:paraId="561F71DC"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Baseline Median</w:t>
            </w:r>
          </w:p>
        </w:tc>
        <w:tc>
          <w:tcPr>
            <w:tcW w:w="0" w:type="auto"/>
            <w:vAlign w:val="center"/>
            <w:hideMark/>
          </w:tcPr>
          <w:p w14:paraId="0F5FE52C"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Baseline p5</w:t>
            </w:r>
          </w:p>
        </w:tc>
        <w:tc>
          <w:tcPr>
            <w:tcW w:w="0" w:type="auto"/>
            <w:vAlign w:val="center"/>
            <w:hideMark/>
          </w:tcPr>
          <w:p w14:paraId="6CE7757D"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Baseline p95</w:t>
            </w:r>
          </w:p>
        </w:tc>
        <w:tc>
          <w:tcPr>
            <w:tcW w:w="0" w:type="auto"/>
            <w:vAlign w:val="center"/>
            <w:hideMark/>
          </w:tcPr>
          <w:p w14:paraId="06933892"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Tight Median</w:t>
            </w:r>
          </w:p>
        </w:tc>
        <w:tc>
          <w:tcPr>
            <w:tcW w:w="0" w:type="auto"/>
            <w:vAlign w:val="center"/>
            <w:hideMark/>
          </w:tcPr>
          <w:p w14:paraId="58EDEBC4"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Tight p5</w:t>
            </w:r>
          </w:p>
        </w:tc>
        <w:tc>
          <w:tcPr>
            <w:tcW w:w="0" w:type="auto"/>
            <w:vAlign w:val="center"/>
            <w:hideMark/>
          </w:tcPr>
          <w:p w14:paraId="3A7A96EB"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Tight p95</w:t>
            </w:r>
          </w:p>
        </w:tc>
        <w:tc>
          <w:tcPr>
            <w:tcW w:w="0" w:type="auto"/>
            <w:vAlign w:val="center"/>
            <w:hideMark/>
          </w:tcPr>
          <w:p w14:paraId="0BFC919C"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Loose Median</w:t>
            </w:r>
          </w:p>
        </w:tc>
        <w:tc>
          <w:tcPr>
            <w:tcW w:w="0" w:type="auto"/>
            <w:vAlign w:val="center"/>
            <w:hideMark/>
          </w:tcPr>
          <w:p w14:paraId="736AD826"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Loose p5</w:t>
            </w:r>
          </w:p>
        </w:tc>
        <w:tc>
          <w:tcPr>
            <w:tcW w:w="0" w:type="auto"/>
            <w:vAlign w:val="center"/>
            <w:hideMark/>
          </w:tcPr>
          <w:p w14:paraId="64F318C6" w14:textId="77777777" w:rsidR="00886B4B" w:rsidRPr="00886B4B" w:rsidRDefault="00886B4B" w:rsidP="00886B4B">
            <w:pPr>
              <w:pBdr>
                <w:top w:val="nil"/>
                <w:left w:val="nil"/>
                <w:bottom w:val="nil"/>
                <w:right w:val="nil"/>
                <w:between w:val="nil"/>
              </w:pBdr>
              <w:spacing w:line="276" w:lineRule="auto"/>
              <w:jc w:val="both"/>
              <w:rPr>
                <w:b/>
                <w:bCs/>
                <w:color w:val="000000"/>
                <w:lang w:val="en-ID"/>
              </w:rPr>
            </w:pPr>
            <w:r w:rsidRPr="00886B4B">
              <w:rPr>
                <w:b/>
                <w:bCs/>
                <w:color w:val="000000"/>
                <w:lang w:val="en-ID"/>
              </w:rPr>
              <w:t>Loose p95</w:t>
            </w:r>
          </w:p>
        </w:tc>
      </w:tr>
      <w:tr w:rsidR="00921E59" w:rsidRPr="00886B4B" w14:paraId="29AC30AB" w14:textId="77777777" w:rsidTr="00921E59">
        <w:trPr>
          <w:tblCellSpacing w:w="15" w:type="dxa"/>
        </w:trPr>
        <w:tc>
          <w:tcPr>
            <w:tcW w:w="0" w:type="auto"/>
            <w:vAlign w:val="center"/>
            <w:hideMark/>
          </w:tcPr>
          <w:p w14:paraId="6D01BF76"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2025</w:t>
            </w:r>
          </w:p>
        </w:tc>
        <w:tc>
          <w:tcPr>
            <w:tcW w:w="0" w:type="auto"/>
            <w:vAlign w:val="center"/>
            <w:hideMark/>
          </w:tcPr>
          <w:p w14:paraId="771AF8E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5.23</w:t>
            </w:r>
          </w:p>
        </w:tc>
        <w:tc>
          <w:tcPr>
            <w:tcW w:w="0" w:type="auto"/>
            <w:vAlign w:val="center"/>
            <w:hideMark/>
          </w:tcPr>
          <w:p w14:paraId="60CB39B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3.18</w:t>
            </w:r>
          </w:p>
        </w:tc>
        <w:tc>
          <w:tcPr>
            <w:tcW w:w="0" w:type="auto"/>
            <w:vAlign w:val="center"/>
            <w:hideMark/>
          </w:tcPr>
          <w:p w14:paraId="6F72EBB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7.74</w:t>
            </w:r>
          </w:p>
        </w:tc>
        <w:tc>
          <w:tcPr>
            <w:tcW w:w="0" w:type="auto"/>
            <w:vAlign w:val="center"/>
            <w:hideMark/>
          </w:tcPr>
          <w:p w14:paraId="26C8AB96"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4.33</w:t>
            </w:r>
          </w:p>
        </w:tc>
        <w:tc>
          <w:tcPr>
            <w:tcW w:w="0" w:type="auto"/>
            <w:vAlign w:val="center"/>
            <w:hideMark/>
          </w:tcPr>
          <w:p w14:paraId="7B6B5BA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1.76</w:t>
            </w:r>
          </w:p>
        </w:tc>
        <w:tc>
          <w:tcPr>
            <w:tcW w:w="0" w:type="auto"/>
            <w:vAlign w:val="center"/>
            <w:hideMark/>
          </w:tcPr>
          <w:p w14:paraId="60A7FE6B"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7.23</w:t>
            </w:r>
          </w:p>
        </w:tc>
        <w:tc>
          <w:tcPr>
            <w:tcW w:w="0" w:type="auto"/>
            <w:vAlign w:val="center"/>
            <w:hideMark/>
          </w:tcPr>
          <w:p w14:paraId="27D8265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6.15</w:t>
            </w:r>
          </w:p>
        </w:tc>
        <w:tc>
          <w:tcPr>
            <w:tcW w:w="0" w:type="auto"/>
            <w:vAlign w:val="center"/>
            <w:hideMark/>
          </w:tcPr>
          <w:p w14:paraId="2A42A3EE"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4.40</w:t>
            </w:r>
          </w:p>
        </w:tc>
        <w:tc>
          <w:tcPr>
            <w:tcW w:w="0" w:type="auto"/>
            <w:vAlign w:val="center"/>
            <w:hideMark/>
          </w:tcPr>
          <w:p w14:paraId="5997A545"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8.33</w:t>
            </w:r>
          </w:p>
        </w:tc>
      </w:tr>
      <w:tr w:rsidR="00921E59" w:rsidRPr="00886B4B" w14:paraId="4BF8884A" w14:textId="77777777" w:rsidTr="00921E59">
        <w:trPr>
          <w:tblCellSpacing w:w="15" w:type="dxa"/>
        </w:trPr>
        <w:tc>
          <w:tcPr>
            <w:tcW w:w="0" w:type="auto"/>
            <w:vAlign w:val="center"/>
            <w:hideMark/>
          </w:tcPr>
          <w:p w14:paraId="4DD3D97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2026</w:t>
            </w:r>
          </w:p>
        </w:tc>
        <w:tc>
          <w:tcPr>
            <w:tcW w:w="0" w:type="auto"/>
            <w:vAlign w:val="center"/>
            <w:hideMark/>
          </w:tcPr>
          <w:p w14:paraId="534AF07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5.86</w:t>
            </w:r>
          </w:p>
        </w:tc>
        <w:tc>
          <w:tcPr>
            <w:tcW w:w="0" w:type="auto"/>
            <w:vAlign w:val="center"/>
            <w:hideMark/>
          </w:tcPr>
          <w:p w14:paraId="7CF8DD13"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3.50</w:t>
            </w:r>
          </w:p>
        </w:tc>
        <w:tc>
          <w:tcPr>
            <w:tcW w:w="0" w:type="auto"/>
            <w:vAlign w:val="center"/>
            <w:hideMark/>
          </w:tcPr>
          <w:p w14:paraId="724610CB"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8.91</w:t>
            </w:r>
          </w:p>
        </w:tc>
        <w:tc>
          <w:tcPr>
            <w:tcW w:w="0" w:type="auto"/>
            <w:vAlign w:val="center"/>
            <w:hideMark/>
          </w:tcPr>
          <w:p w14:paraId="04FF355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4.82</w:t>
            </w:r>
          </w:p>
        </w:tc>
        <w:tc>
          <w:tcPr>
            <w:tcW w:w="0" w:type="auto"/>
            <w:vAlign w:val="center"/>
            <w:hideMark/>
          </w:tcPr>
          <w:p w14:paraId="4DAEB66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2.05</w:t>
            </w:r>
          </w:p>
        </w:tc>
        <w:tc>
          <w:tcPr>
            <w:tcW w:w="0" w:type="auto"/>
            <w:vAlign w:val="center"/>
            <w:hideMark/>
          </w:tcPr>
          <w:p w14:paraId="42987F29"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7.98</w:t>
            </w:r>
          </w:p>
        </w:tc>
        <w:tc>
          <w:tcPr>
            <w:tcW w:w="0" w:type="auto"/>
            <w:vAlign w:val="center"/>
            <w:hideMark/>
          </w:tcPr>
          <w:p w14:paraId="6F53176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6.82</w:t>
            </w:r>
          </w:p>
        </w:tc>
        <w:tc>
          <w:tcPr>
            <w:tcW w:w="0" w:type="auto"/>
            <w:vAlign w:val="center"/>
            <w:hideMark/>
          </w:tcPr>
          <w:p w14:paraId="61B54CD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4.78</w:t>
            </w:r>
          </w:p>
        </w:tc>
        <w:tc>
          <w:tcPr>
            <w:tcW w:w="0" w:type="auto"/>
            <w:vAlign w:val="center"/>
            <w:hideMark/>
          </w:tcPr>
          <w:p w14:paraId="0350C093"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9.12</w:t>
            </w:r>
          </w:p>
        </w:tc>
      </w:tr>
      <w:tr w:rsidR="00921E59" w:rsidRPr="00886B4B" w14:paraId="69CA0AAF" w14:textId="77777777" w:rsidTr="00921E59">
        <w:trPr>
          <w:tblCellSpacing w:w="15" w:type="dxa"/>
        </w:trPr>
        <w:tc>
          <w:tcPr>
            <w:tcW w:w="0" w:type="auto"/>
            <w:vAlign w:val="center"/>
            <w:hideMark/>
          </w:tcPr>
          <w:p w14:paraId="1891644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2027</w:t>
            </w:r>
          </w:p>
        </w:tc>
        <w:tc>
          <w:tcPr>
            <w:tcW w:w="0" w:type="auto"/>
            <w:vAlign w:val="center"/>
            <w:hideMark/>
          </w:tcPr>
          <w:p w14:paraId="1CC045F8"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6.59</w:t>
            </w:r>
          </w:p>
        </w:tc>
        <w:tc>
          <w:tcPr>
            <w:tcW w:w="0" w:type="auto"/>
            <w:vAlign w:val="center"/>
            <w:hideMark/>
          </w:tcPr>
          <w:p w14:paraId="1748F69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3.76</w:t>
            </w:r>
          </w:p>
        </w:tc>
        <w:tc>
          <w:tcPr>
            <w:tcW w:w="0" w:type="auto"/>
            <w:vAlign w:val="center"/>
            <w:hideMark/>
          </w:tcPr>
          <w:p w14:paraId="6528BADF"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10.48</w:t>
            </w:r>
          </w:p>
        </w:tc>
        <w:tc>
          <w:tcPr>
            <w:tcW w:w="0" w:type="auto"/>
            <w:vAlign w:val="center"/>
            <w:hideMark/>
          </w:tcPr>
          <w:p w14:paraId="6695E9CE"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5.39</w:t>
            </w:r>
          </w:p>
        </w:tc>
        <w:tc>
          <w:tcPr>
            <w:tcW w:w="0" w:type="auto"/>
            <w:vAlign w:val="center"/>
            <w:hideMark/>
          </w:tcPr>
          <w:p w14:paraId="20377A26"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2.39</w:t>
            </w:r>
          </w:p>
        </w:tc>
        <w:tc>
          <w:tcPr>
            <w:tcW w:w="0" w:type="auto"/>
            <w:vAlign w:val="center"/>
            <w:hideMark/>
          </w:tcPr>
          <w:p w14:paraId="0B55D661"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8.83</w:t>
            </w:r>
          </w:p>
        </w:tc>
        <w:tc>
          <w:tcPr>
            <w:tcW w:w="0" w:type="auto"/>
            <w:vAlign w:val="center"/>
            <w:hideMark/>
          </w:tcPr>
          <w:p w14:paraId="770E0128"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7.56</w:t>
            </w:r>
          </w:p>
        </w:tc>
        <w:tc>
          <w:tcPr>
            <w:tcW w:w="0" w:type="auto"/>
            <w:vAlign w:val="center"/>
            <w:hideMark/>
          </w:tcPr>
          <w:p w14:paraId="6F4F450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5.21</w:t>
            </w:r>
          </w:p>
        </w:tc>
        <w:tc>
          <w:tcPr>
            <w:tcW w:w="0" w:type="auto"/>
            <w:vAlign w:val="center"/>
            <w:hideMark/>
          </w:tcPr>
          <w:p w14:paraId="4F18142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10.05</w:t>
            </w:r>
          </w:p>
        </w:tc>
      </w:tr>
      <w:tr w:rsidR="00921E59" w:rsidRPr="00886B4B" w14:paraId="1FD21348" w14:textId="77777777" w:rsidTr="00921E59">
        <w:trPr>
          <w:tblCellSpacing w:w="15" w:type="dxa"/>
        </w:trPr>
        <w:tc>
          <w:tcPr>
            <w:tcW w:w="0" w:type="auto"/>
            <w:vAlign w:val="center"/>
            <w:hideMark/>
          </w:tcPr>
          <w:p w14:paraId="0708D8B5"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2028</w:t>
            </w:r>
          </w:p>
        </w:tc>
        <w:tc>
          <w:tcPr>
            <w:tcW w:w="0" w:type="auto"/>
            <w:vAlign w:val="center"/>
            <w:hideMark/>
          </w:tcPr>
          <w:p w14:paraId="796E584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7.31</w:t>
            </w:r>
          </w:p>
        </w:tc>
        <w:tc>
          <w:tcPr>
            <w:tcW w:w="0" w:type="auto"/>
            <w:vAlign w:val="center"/>
            <w:hideMark/>
          </w:tcPr>
          <w:p w14:paraId="193D119B"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4.02</w:t>
            </w:r>
          </w:p>
        </w:tc>
        <w:tc>
          <w:tcPr>
            <w:tcW w:w="0" w:type="auto"/>
            <w:vAlign w:val="center"/>
            <w:hideMark/>
          </w:tcPr>
          <w:p w14:paraId="56D9262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12.17</w:t>
            </w:r>
          </w:p>
        </w:tc>
        <w:tc>
          <w:tcPr>
            <w:tcW w:w="0" w:type="auto"/>
            <w:vAlign w:val="center"/>
            <w:hideMark/>
          </w:tcPr>
          <w:p w14:paraId="639A4F08"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6.03</w:t>
            </w:r>
          </w:p>
        </w:tc>
        <w:tc>
          <w:tcPr>
            <w:tcW w:w="0" w:type="auto"/>
            <w:vAlign w:val="center"/>
            <w:hideMark/>
          </w:tcPr>
          <w:p w14:paraId="31D6D912"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2.80</w:t>
            </w:r>
          </w:p>
        </w:tc>
        <w:tc>
          <w:tcPr>
            <w:tcW w:w="0" w:type="auto"/>
            <w:vAlign w:val="center"/>
            <w:hideMark/>
          </w:tcPr>
          <w:p w14:paraId="1A526859"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9.79</w:t>
            </w:r>
          </w:p>
        </w:tc>
        <w:tc>
          <w:tcPr>
            <w:tcW w:w="0" w:type="auto"/>
            <w:vAlign w:val="center"/>
            <w:hideMark/>
          </w:tcPr>
          <w:p w14:paraId="6679EBE1"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8.37</w:t>
            </w:r>
          </w:p>
        </w:tc>
        <w:tc>
          <w:tcPr>
            <w:tcW w:w="0" w:type="auto"/>
            <w:vAlign w:val="center"/>
            <w:hideMark/>
          </w:tcPr>
          <w:p w14:paraId="6E5B16D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5.70</w:t>
            </w:r>
          </w:p>
        </w:tc>
        <w:tc>
          <w:tcPr>
            <w:tcW w:w="0" w:type="auto"/>
            <w:vAlign w:val="center"/>
            <w:hideMark/>
          </w:tcPr>
          <w:p w14:paraId="37890D5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11.05</w:t>
            </w:r>
          </w:p>
        </w:tc>
      </w:tr>
      <w:tr w:rsidR="00921E59" w:rsidRPr="00886B4B" w14:paraId="59091213" w14:textId="77777777" w:rsidTr="00921E59">
        <w:trPr>
          <w:tblCellSpacing w:w="15" w:type="dxa"/>
        </w:trPr>
        <w:tc>
          <w:tcPr>
            <w:tcW w:w="0" w:type="auto"/>
            <w:vAlign w:val="center"/>
            <w:hideMark/>
          </w:tcPr>
          <w:p w14:paraId="593A85F9"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2029</w:t>
            </w:r>
          </w:p>
        </w:tc>
        <w:tc>
          <w:tcPr>
            <w:tcW w:w="0" w:type="auto"/>
            <w:vAlign w:val="center"/>
            <w:hideMark/>
          </w:tcPr>
          <w:p w14:paraId="353292F9"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8.18</w:t>
            </w:r>
          </w:p>
        </w:tc>
        <w:tc>
          <w:tcPr>
            <w:tcW w:w="0" w:type="auto"/>
            <w:vAlign w:val="center"/>
            <w:hideMark/>
          </w:tcPr>
          <w:p w14:paraId="703D3B69"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4.28</w:t>
            </w:r>
          </w:p>
        </w:tc>
        <w:tc>
          <w:tcPr>
            <w:tcW w:w="0" w:type="auto"/>
            <w:vAlign w:val="center"/>
            <w:hideMark/>
          </w:tcPr>
          <w:p w14:paraId="781D2CFE"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14.53</w:t>
            </w:r>
          </w:p>
        </w:tc>
        <w:tc>
          <w:tcPr>
            <w:tcW w:w="0" w:type="auto"/>
            <w:vAlign w:val="center"/>
            <w:hideMark/>
          </w:tcPr>
          <w:p w14:paraId="1254043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6.74</w:t>
            </w:r>
          </w:p>
        </w:tc>
        <w:tc>
          <w:tcPr>
            <w:tcW w:w="0" w:type="auto"/>
            <w:vAlign w:val="center"/>
            <w:hideMark/>
          </w:tcPr>
          <w:p w14:paraId="3C33444B"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3.26</w:t>
            </w:r>
          </w:p>
        </w:tc>
        <w:tc>
          <w:tcPr>
            <w:tcW w:w="0" w:type="auto"/>
            <w:vAlign w:val="center"/>
            <w:hideMark/>
          </w:tcPr>
          <w:p w14:paraId="15CFCA9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10.85</w:t>
            </w:r>
          </w:p>
        </w:tc>
        <w:tc>
          <w:tcPr>
            <w:tcW w:w="0" w:type="auto"/>
            <w:vAlign w:val="center"/>
            <w:hideMark/>
          </w:tcPr>
          <w:p w14:paraId="5F9ABD91"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9.25</w:t>
            </w:r>
          </w:p>
        </w:tc>
        <w:tc>
          <w:tcPr>
            <w:tcW w:w="0" w:type="auto"/>
            <w:vAlign w:val="center"/>
            <w:hideMark/>
          </w:tcPr>
          <w:p w14:paraId="4E6759E9"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6.25</w:t>
            </w:r>
          </w:p>
        </w:tc>
        <w:tc>
          <w:tcPr>
            <w:tcW w:w="0" w:type="auto"/>
            <w:vAlign w:val="center"/>
            <w:hideMark/>
          </w:tcPr>
          <w:p w14:paraId="6DF1319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12.12</w:t>
            </w:r>
          </w:p>
        </w:tc>
      </w:tr>
      <w:tr w:rsidR="00921E59" w:rsidRPr="00886B4B" w14:paraId="0A015BE5" w14:textId="77777777" w:rsidTr="00921E59">
        <w:trPr>
          <w:tblCellSpacing w:w="15" w:type="dxa"/>
        </w:trPr>
        <w:tc>
          <w:tcPr>
            <w:tcW w:w="0" w:type="auto"/>
            <w:vAlign w:val="center"/>
            <w:hideMark/>
          </w:tcPr>
          <w:p w14:paraId="4C074C0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2030</w:t>
            </w:r>
          </w:p>
        </w:tc>
        <w:tc>
          <w:tcPr>
            <w:tcW w:w="0" w:type="auto"/>
            <w:vAlign w:val="center"/>
            <w:hideMark/>
          </w:tcPr>
          <w:p w14:paraId="4EFC7C5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9.22</w:t>
            </w:r>
          </w:p>
        </w:tc>
        <w:tc>
          <w:tcPr>
            <w:tcW w:w="0" w:type="auto"/>
            <w:vAlign w:val="center"/>
            <w:hideMark/>
          </w:tcPr>
          <w:p w14:paraId="4739E5C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4.46</w:t>
            </w:r>
          </w:p>
        </w:tc>
        <w:tc>
          <w:tcPr>
            <w:tcW w:w="0" w:type="auto"/>
            <w:vAlign w:val="center"/>
            <w:hideMark/>
          </w:tcPr>
          <w:p w14:paraId="132FC4AE"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17.39</w:t>
            </w:r>
          </w:p>
        </w:tc>
        <w:tc>
          <w:tcPr>
            <w:tcW w:w="0" w:type="auto"/>
            <w:vAlign w:val="center"/>
            <w:hideMark/>
          </w:tcPr>
          <w:p w14:paraId="2A98F717"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7.54</w:t>
            </w:r>
          </w:p>
        </w:tc>
        <w:tc>
          <w:tcPr>
            <w:tcW w:w="0" w:type="auto"/>
            <w:vAlign w:val="center"/>
            <w:hideMark/>
          </w:tcPr>
          <w:p w14:paraId="494C09D1"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3.80</w:t>
            </w:r>
          </w:p>
        </w:tc>
        <w:tc>
          <w:tcPr>
            <w:tcW w:w="0" w:type="auto"/>
            <w:vAlign w:val="center"/>
            <w:hideMark/>
          </w:tcPr>
          <w:p w14:paraId="05217650"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12.04</w:t>
            </w:r>
          </w:p>
        </w:tc>
        <w:tc>
          <w:tcPr>
            <w:tcW w:w="0" w:type="auto"/>
            <w:vAlign w:val="center"/>
            <w:hideMark/>
          </w:tcPr>
          <w:p w14:paraId="6FC4974D"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10.22</w:t>
            </w:r>
          </w:p>
        </w:tc>
        <w:tc>
          <w:tcPr>
            <w:tcW w:w="0" w:type="auto"/>
            <w:vAlign w:val="center"/>
            <w:hideMark/>
          </w:tcPr>
          <w:p w14:paraId="63ED66A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6.86</w:t>
            </w:r>
          </w:p>
        </w:tc>
        <w:tc>
          <w:tcPr>
            <w:tcW w:w="0" w:type="auto"/>
            <w:vAlign w:val="center"/>
            <w:hideMark/>
          </w:tcPr>
          <w:p w14:paraId="2588BE83"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13.28</w:t>
            </w:r>
          </w:p>
        </w:tc>
      </w:tr>
      <w:tr w:rsidR="00921E59" w:rsidRPr="00886B4B" w14:paraId="0B156E4D" w14:textId="77777777" w:rsidTr="00921E59">
        <w:trPr>
          <w:tblCellSpacing w:w="15" w:type="dxa"/>
        </w:trPr>
        <w:tc>
          <w:tcPr>
            <w:tcW w:w="0" w:type="auto"/>
            <w:vAlign w:val="center"/>
            <w:hideMark/>
          </w:tcPr>
          <w:p w14:paraId="712F0B6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2031</w:t>
            </w:r>
          </w:p>
        </w:tc>
        <w:tc>
          <w:tcPr>
            <w:tcW w:w="0" w:type="auto"/>
            <w:vAlign w:val="center"/>
            <w:hideMark/>
          </w:tcPr>
          <w:p w14:paraId="34D62705"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10.36</w:t>
            </w:r>
          </w:p>
        </w:tc>
        <w:tc>
          <w:tcPr>
            <w:tcW w:w="0" w:type="auto"/>
            <w:vAlign w:val="center"/>
            <w:hideMark/>
          </w:tcPr>
          <w:p w14:paraId="16A3BD2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4.68</w:t>
            </w:r>
          </w:p>
        </w:tc>
        <w:tc>
          <w:tcPr>
            <w:tcW w:w="0" w:type="auto"/>
            <w:vAlign w:val="center"/>
            <w:hideMark/>
          </w:tcPr>
          <w:p w14:paraId="229CBFA3"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21.13</w:t>
            </w:r>
          </w:p>
        </w:tc>
        <w:tc>
          <w:tcPr>
            <w:tcW w:w="0" w:type="auto"/>
            <w:vAlign w:val="center"/>
            <w:hideMark/>
          </w:tcPr>
          <w:p w14:paraId="72709FB6"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8.43</w:t>
            </w:r>
          </w:p>
        </w:tc>
        <w:tc>
          <w:tcPr>
            <w:tcW w:w="0" w:type="auto"/>
            <w:vAlign w:val="center"/>
            <w:hideMark/>
          </w:tcPr>
          <w:p w14:paraId="65ABFE9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4.43</w:t>
            </w:r>
          </w:p>
        </w:tc>
        <w:tc>
          <w:tcPr>
            <w:tcW w:w="0" w:type="auto"/>
            <w:vAlign w:val="center"/>
            <w:hideMark/>
          </w:tcPr>
          <w:p w14:paraId="125352F5"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13.37</w:t>
            </w:r>
          </w:p>
        </w:tc>
        <w:tc>
          <w:tcPr>
            <w:tcW w:w="0" w:type="auto"/>
            <w:vAlign w:val="center"/>
            <w:hideMark/>
          </w:tcPr>
          <w:p w14:paraId="21A241E5"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11.32</w:t>
            </w:r>
          </w:p>
        </w:tc>
        <w:tc>
          <w:tcPr>
            <w:tcW w:w="0" w:type="auto"/>
            <w:vAlign w:val="center"/>
            <w:hideMark/>
          </w:tcPr>
          <w:p w14:paraId="68C6AD3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7.53</w:t>
            </w:r>
          </w:p>
        </w:tc>
        <w:tc>
          <w:tcPr>
            <w:tcW w:w="0" w:type="auto"/>
            <w:vAlign w:val="center"/>
            <w:hideMark/>
          </w:tcPr>
          <w:p w14:paraId="28EF9AE1"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14.62</w:t>
            </w:r>
          </w:p>
        </w:tc>
      </w:tr>
      <w:tr w:rsidR="00921E59" w:rsidRPr="00886B4B" w14:paraId="493C5DA3" w14:textId="77777777" w:rsidTr="00921E59">
        <w:trPr>
          <w:tblCellSpacing w:w="15" w:type="dxa"/>
        </w:trPr>
        <w:tc>
          <w:tcPr>
            <w:tcW w:w="0" w:type="auto"/>
            <w:vAlign w:val="center"/>
            <w:hideMark/>
          </w:tcPr>
          <w:p w14:paraId="50353B2A"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2032</w:t>
            </w:r>
          </w:p>
        </w:tc>
        <w:tc>
          <w:tcPr>
            <w:tcW w:w="0" w:type="auto"/>
            <w:vAlign w:val="center"/>
            <w:hideMark/>
          </w:tcPr>
          <w:p w14:paraId="252BA721"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11.68</w:t>
            </w:r>
          </w:p>
        </w:tc>
        <w:tc>
          <w:tcPr>
            <w:tcW w:w="0" w:type="auto"/>
            <w:vAlign w:val="center"/>
            <w:hideMark/>
          </w:tcPr>
          <w:p w14:paraId="16B773E8"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4.86</w:t>
            </w:r>
          </w:p>
        </w:tc>
        <w:tc>
          <w:tcPr>
            <w:tcW w:w="0" w:type="auto"/>
            <w:vAlign w:val="center"/>
            <w:hideMark/>
          </w:tcPr>
          <w:p w14:paraId="16E659B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25.54</w:t>
            </w:r>
          </w:p>
        </w:tc>
        <w:tc>
          <w:tcPr>
            <w:tcW w:w="0" w:type="auto"/>
            <w:vAlign w:val="center"/>
            <w:hideMark/>
          </w:tcPr>
          <w:p w14:paraId="1E0D3B98"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9.24</w:t>
            </w:r>
          </w:p>
        </w:tc>
        <w:tc>
          <w:tcPr>
            <w:tcW w:w="0" w:type="auto"/>
            <w:vAlign w:val="center"/>
            <w:hideMark/>
          </w:tcPr>
          <w:p w14:paraId="7CB3F5D4"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2.99</w:t>
            </w:r>
          </w:p>
        </w:tc>
        <w:tc>
          <w:tcPr>
            <w:tcW w:w="0" w:type="auto"/>
            <w:vAlign w:val="center"/>
            <w:hideMark/>
          </w:tcPr>
          <w:p w14:paraId="1EEACE63"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22.62</w:t>
            </w:r>
          </w:p>
        </w:tc>
        <w:tc>
          <w:tcPr>
            <w:tcW w:w="0" w:type="auto"/>
            <w:vAlign w:val="center"/>
            <w:hideMark/>
          </w:tcPr>
          <w:p w14:paraId="30FC75E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13.43</w:t>
            </w:r>
          </w:p>
        </w:tc>
        <w:tc>
          <w:tcPr>
            <w:tcW w:w="0" w:type="auto"/>
            <w:vAlign w:val="center"/>
            <w:hideMark/>
          </w:tcPr>
          <w:p w14:paraId="60449CE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6.00</w:t>
            </w:r>
          </w:p>
        </w:tc>
        <w:tc>
          <w:tcPr>
            <w:tcW w:w="0" w:type="auto"/>
            <w:vAlign w:val="center"/>
            <w:hideMark/>
          </w:tcPr>
          <w:p w14:paraId="434500CC" w14:textId="77777777" w:rsidR="00886B4B" w:rsidRPr="00886B4B" w:rsidRDefault="00886B4B" w:rsidP="00921E59">
            <w:pPr>
              <w:pBdr>
                <w:top w:val="nil"/>
                <w:left w:val="nil"/>
                <w:bottom w:val="nil"/>
                <w:right w:val="nil"/>
                <w:between w:val="nil"/>
              </w:pBdr>
              <w:spacing w:line="276" w:lineRule="auto"/>
              <w:jc w:val="center"/>
              <w:rPr>
                <w:color w:val="000000"/>
                <w:lang w:val="en-ID"/>
              </w:rPr>
            </w:pPr>
            <w:r w:rsidRPr="00886B4B">
              <w:rPr>
                <w:color w:val="000000"/>
                <w:lang w:val="en-ID"/>
              </w:rPr>
              <w:t>27.92</w:t>
            </w:r>
          </w:p>
        </w:tc>
      </w:tr>
    </w:tbl>
    <w:p w14:paraId="780083F4" w14:textId="42EBA981" w:rsidR="00886B4B" w:rsidRDefault="00886B4B" w:rsidP="006B57A4">
      <w:pPr>
        <w:pBdr>
          <w:top w:val="nil"/>
          <w:left w:val="nil"/>
          <w:bottom w:val="nil"/>
          <w:right w:val="nil"/>
          <w:between w:val="nil"/>
        </w:pBdr>
        <w:spacing w:line="276" w:lineRule="auto"/>
        <w:jc w:val="both"/>
        <w:rPr>
          <w:color w:val="000000"/>
          <w:lang w:val="en-ID"/>
        </w:rPr>
      </w:pPr>
      <w:r w:rsidRPr="00886B4B">
        <w:rPr>
          <w:noProof/>
          <w:color w:val="000000"/>
          <w:lang w:val="en-ID"/>
        </w:rPr>
        <w:drawing>
          <wp:inline distT="0" distB="0" distL="0" distR="0" wp14:anchorId="65D28996" wp14:editId="6109E846">
            <wp:extent cx="5231027" cy="3093542"/>
            <wp:effectExtent l="0" t="0" r="8255" b="0"/>
            <wp:docPr id="103872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28203" name=""/>
                    <pic:cNvPicPr/>
                  </pic:nvPicPr>
                  <pic:blipFill rotWithShape="1">
                    <a:blip r:embed="rId15"/>
                    <a:srcRect l="38000" t="25136" r="16832" b="32128"/>
                    <a:stretch>
                      <a:fillRect/>
                    </a:stretch>
                  </pic:blipFill>
                  <pic:spPr bwMode="auto">
                    <a:xfrm>
                      <a:off x="0" y="0"/>
                      <a:ext cx="5258003" cy="3109495"/>
                    </a:xfrm>
                    <a:prstGeom prst="rect">
                      <a:avLst/>
                    </a:prstGeom>
                    <a:ln>
                      <a:noFill/>
                    </a:ln>
                    <a:extLst>
                      <a:ext uri="{53640926-AAD7-44D8-BBD7-CCE9431645EC}">
                        <a14:shadowObscured xmlns:a14="http://schemas.microsoft.com/office/drawing/2010/main"/>
                      </a:ext>
                    </a:extLst>
                  </pic:spPr>
                </pic:pic>
              </a:graphicData>
            </a:graphic>
          </wp:inline>
        </w:drawing>
      </w:r>
    </w:p>
    <w:p w14:paraId="03206504" w14:textId="55CA3870" w:rsidR="00A218B2" w:rsidRPr="00A218B2" w:rsidRDefault="00A218B2" w:rsidP="00A218B2">
      <w:pPr>
        <w:pBdr>
          <w:top w:val="nil"/>
          <w:left w:val="nil"/>
          <w:bottom w:val="nil"/>
          <w:right w:val="nil"/>
          <w:between w:val="nil"/>
        </w:pBdr>
        <w:spacing w:line="276" w:lineRule="auto"/>
        <w:jc w:val="center"/>
        <w:rPr>
          <w:b/>
          <w:bCs/>
          <w:color w:val="000000"/>
          <w:lang w:val="en-ID"/>
        </w:rPr>
      </w:pPr>
      <w:r w:rsidRPr="00A218B2">
        <w:rPr>
          <w:b/>
          <w:bCs/>
          <w:color w:val="000000"/>
          <w:lang w:val="en-ID"/>
        </w:rPr>
        <w:t xml:space="preserve">Graphic </w:t>
      </w:r>
      <w:r w:rsidRPr="006B57A4">
        <w:rPr>
          <w:b/>
          <w:bCs/>
          <w:color w:val="000000"/>
          <w:lang w:val="en-ID"/>
        </w:rPr>
        <w:t>1</w:t>
      </w:r>
      <w:r w:rsidRPr="00A218B2">
        <w:rPr>
          <w:b/>
          <w:bCs/>
          <w:color w:val="000000"/>
          <w:lang w:val="en-ID"/>
        </w:rPr>
        <w:t xml:space="preserve"> Projected Illegal </w:t>
      </w:r>
      <w:proofErr w:type="spellStart"/>
      <w:r w:rsidRPr="00A218B2">
        <w:rPr>
          <w:b/>
          <w:bCs/>
          <w:color w:val="000000"/>
          <w:lang w:val="en-ID"/>
        </w:rPr>
        <w:t>Benur</w:t>
      </w:r>
      <w:proofErr w:type="spellEnd"/>
      <w:r w:rsidRPr="00A218B2">
        <w:rPr>
          <w:b/>
          <w:bCs/>
          <w:color w:val="000000"/>
          <w:lang w:val="en-ID"/>
        </w:rPr>
        <w:t xml:space="preserve"> Volume</w:t>
      </w:r>
    </w:p>
    <w:p w14:paraId="5B54EF8F" w14:textId="094CE99B" w:rsidR="00A218B2" w:rsidRPr="006B57A4" w:rsidRDefault="00A218B2" w:rsidP="00A218B2">
      <w:pPr>
        <w:pBdr>
          <w:top w:val="nil"/>
          <w:left w:val="nil"/>
          <w:bottom w:val="nil"/>
          <w:right w:val="nil"/>
          <w:between w:val="nil"/>
        </w:pBdr>
        <w:spacing w:line="276" w:lineRule="auto"/>
        <w:jc w:val="center"/>
        <w:rPr>
          <w:color w:val="000000"/>
          <w:lang w:val="en-ID"/>
        </w:rPr>
      </w:pPr>
      <w:proofErr w:type="gramStart"/>
      <w:r>
        <w:rPr>
          <w:color w:val="000000"/>
          <w:lang w:val="en-ID"/>
        </w:rPr>
        <w:t>Source :</w:t>
      </w:r>
      <w:proofErr w:type="gramEnd"/>
      <w:r>
        <w:rPr>
          <w:color w:val="000000"/>
          <w:lang w:val="en-ID"/>
        </w:rPr>
        <w:t xml:space="preserve"> </w:t>
      </w:r>
      <w:r w:rsidRPr="00A218B2">
        <w:rPr>
          <w:color w:val="000000"/>
        </w:rPr>
        <w:t>Research Team on Fisheries Policy, 2025, data processed by researchers</w:t>
      </w:r>
    </w:p>
    <w:p w14:paraId="49CC0AD5" w14:textId="77777777" w:rsidR="00A218B2" w:rsidRDefault="00A218B2" w:rsidP="006B57A4">
      <w:pPr>
        <w:pBdr>
          <w:top w:val="nil"/>
          <w:left w:val="nil"/>
          <w:bottom w:val="nil"/>
          <w:right w:val="nil"/>
          <w:between w:val="nil"/>
        </w:pBdr>
        <w:spacing w:line="276" w:lineRule="auto"/>
        <w:jc w:val="both"/>
        <w:rPr>
          <w:b/>
          <w:bCs/>
          <w:color w:val="000000"/>
          <w:lang w:val="en-ID"/>
        </w:rPr>
      </w:pPr>
    </w:p>
    <w:p w14:paraId="2C93C557" w14:textId="3D814398" w:rsidR="00A218B2" w:rsidRDefault="00A218B2" w:rsidP="006B57A4">
      <w:pPr>
        <w:pBdr>
          <w:top w:val="nil"/>
          <w:left w:val="nil"/>
          <w:bottom w:val="nil"/>
          <w:right w:val="nil"/>
          <w:between w:val="nil"/>
        </w:pBdr>
        <w:spacing w:line="276" w:lineRule="auto"/>
        <w:jc w:val="both"/>
        <w:rPr>
          <w:b/>
          <w:bCs/>
          <w:color w:val="000000"/>
          <w:lang w:val="en-ID"/>
        </w:rPr>
      </w:pPr>
      <w:r>
        <w:rPr>
          <w:b/>
          <w:bCs/>
          <w:color w:val="000000"/>
          <w:lang w:val="en-ID"/>
        </w:rPr>
        <w:t xml:space="preserve">DISCUSSION </w:t>
      </w:r>
    </w:p>
    <w:p w14:paraId="6FBE1DFB"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t xml:space="preserve">Forecasting analysis provides a structured approach for anticipating the impacts of regulatory changes on illegal activities, particularly in the case of </w:t>
      </w:r>
      <w:proofErr w:type="spellStart"/>
      <w:r w:rsidRPr="00A218B2">
        <w:rPr>
          <w:color w:val="000000"/>
          <w:lang w:val="en-ID"/>
        </w:rPr>
        <w:t>Permen</w:t>
      </w:r>
      <w:proofErr w:type="spellEnd"/>
      <w:r w:rsidRPr="00A218B2">
        <w:rPr>
          <w:color w:val="000000"/>
          <w:lang w:val="en-ID"/>
        </w:rPr>
        <w:t xml:space="preserve"> KKP No. 7/2024, which governs the trade of lobster seed (</w:t>
      </w:r>
      <w:proofErr w:type="spellStart"/>
      <w:r w:rsidRPr="00A218B2">
        <w:rPr>
          <w:color w:val="000000"/>
          <w:lang w:val="en-ID"/>
        </w:rPr>
        <w:t>benur</w:t>
      </w:r>
      <w:proofErr w:type="spellEnd"/>
      <w:r w:rsidRPr="00A218B2">
        <w:rPr>
          <w:color w:val="000000"/>
          <w:lang w:val="en-ID"/>
        </w:rPr>
        <w:t xml:space="preserve">) in Indonesia. While the regulation aims to promote sustainability and protect juvenile lobster populations, its unintended consequences may include an increase in smuggling driven by persistent demand from </w:t>
      </w:r>
      <w:r w:rsidRPr="00A218B2">
        <w:rPr>
          <w:color w:val="000000"/>
          <w:lang w:val="en-ID"/>
        </w:rPr>
        <w:lastRenderedPageBreak/>
        <w:t xml:space="preserve">regional markets, particularly Vietnam and China. By integrating dependent variables such as the level of </w:t>
      </w:r>
      <w:proofErr w:type="spellStart"/>
      <w:r w:rsidRPr="00A218B2">
        <w:rPr>
          <w:color w:val="000000"/>
          <w:lang w:val="en-ID"/>
        </w:rPr>
        <w:t>benur</w:t>
      </w:r>
      <w:proofErr w:type="spellEnd"/>
      <w:r w:rsidRPr="00A218B2">
        <w:rPr>
          <w:color w:val="000000"/>
          <w:lang w:val="en-ID"/>
        </w:rPr>
        <w:t xml:space="preserve"> smuggling with independent factors like regulatory stringency, law enforcement effectiveness, market demand, and socio-economic conditions of coastal communities, this study projects potential trajectories of illegal lobster seed trade. The methodological framework employs a mix of trend analysis, scenario-building, and expert forecasting through the Delphi method to produce a forward-looking policy assessment, bridging the classic das sein–das </w:t>
      </w:r>
      <w:proofErr w:type="spellStart"/>
      <w:r w:rsidRPr="00A218B2">
        <w:rPr>
          <w:color w:val="000000"/>
          <w:lang w:val="en-ID"/>
        </w:rPr>
        <w:t>sollen</w:t>
      </w:r>
      <w:proofErr w:type="spellEnd"/>
      <w:r w:rsidRPr="00A218B2">
        <w:rPr>
          <w:color w:val="000000"/>
          <w:lang w:val="en-ID"/>
        </w:rPr>
        <w:t xml:space="preserve"> gap between the reality of illegal trade (das sein) and the normative objectives of the regulation (das </w:t>
      </w:r>
      <w:proofErr w:type="spellStart"/>
      <w:r w:rsidRPr="00A218B2">
        <w:rPr>
          <w:color w:val="000000"/>
          <w:lang w:val="en-ID"/>
        </w:rPr>
        <w:t>sollen</w:t>
      </w:r>
      <w:proofErr w:type="spellEnd"/>
      <w:r w:rsidRPr="00A218B2">
        <w:rPr>
          <w:color w:val="000000"/>
          <w:lang w:val="en-ID"/>
        </w:rPr>
        <w:t xml:space="preserve">) (Eide &amp; </w:t>
      </w:r>
      <w:proofErr w:type="spellStart"/>
      <w:r w:rsidRPr="00A218B2">
        <w:rPr>
          <w:color w:val="000000"/>
          <w:lang w:val="en-ID"/>
        </w:rPr>
        <w:t>Skonhoft</w:t>
      </w:r>
      <w:proofErr w:type="spellEnd"/>
      <w:r w:rsidRPr="00A218B2">
        <w:rPr>
          <w:color w:val="000000"/>
          <w:lang w:val="en-ID"/>
        </w:rPr>
        <w:t>, 2020; Hsu &amp; Sandford, 2007).</w:t>
      </w:r>
    </w:p>
    <w:p w14:paraId="6B91069D"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t xml:space="preserve">Historical data on </w:t>
      </w:r>
      <w:proofErr w:type="spellStart"/>
      <w:r w:rsidRPr="00A218B2">
        <w:rPr>
          <w:color w:val="000000"/>
          <w:lang w:val="en-ID"/>
        </w:rPr>
        <w:t>benur</w:t>
      </w:r>
      <w:proofErr w:type="spellEnd"/>
      <w:r w:rsidRPr="00A218B2">
        <w:rPr>
          <w:color w:val="000000"/>
          <w:lang w:val="en-ID"/>
        </w:rPr>
        <w:t xml:space="preserve"> smuggling underscores the complexity of enforcement in Indonesia. Between 2015 and 2019, over 113 million lobster seeds were seized across the archipelago, with an estimated market value exceeding IDR 1.6 trillion, reflecting the high economic incentive for illicit collection (Pramoda et al., 2022). The lifting of the export ban in 2020 temporarily regularized trade, yet subsequent re-prohibition in 2021 resulted in the resurgence of clandestine networks. Trend-based projections indicate that under </w:t>
      </w:r>
      <w:proofErr w:type="spellStart"/>
      <w:r w:rsidRPr="00A218B2">
        <w:rPr>
          <w:color w:val="000000"/>
          <w:lang w:val="en-ID"/>
        </w:rPr>
        <w:t>Permen</w:t>
      </w:r>
      <w:proofErr w:type="spellEnd"/>
      <w:r w:rsidRPr="00A218B2">
        <w:rPr>
          <w:color w:val="000000"/>
          <w:lang w:val="en-ID"/>
        </w:rPr>
        <w:t xml:space="preserve"> KKP No. 7/2024, smuggling incidents could increase by 20–30% annually if enforcement gaps persist, particularly in high-traffic exit points such as Batam, Lombok, and Sulawesi waters. These trends illustrate the need for a forecasting approach, as traditional reactive methods fail to anticipate the adaptive strategies employed by illegal operators (</w:t>
      </w:r>
      <w:proofErr w:type="spellStart"/>
      <w:r w:rsidRPr="00A218B2">
        <w:rPr>
          <w:color w:val="000000"/>
          <w:lang w:val="en-ID"/>
        </w:rPr>
        <w:t>Makridakis</w:t>
      </w:r>
      <w:proofErr w:type="spellEnd"/>
      <w:r w:rsidRPr="00A218B2">
        <w:rPr>
          <w:color w:val="000000"/>
          <w:lang w:val="en-ID"/>
        </w:rPr>
        <w:t xml:space="preserve"> et al., 2020).</w:t>
      </w:r>
    </w:p>
    <w:p w14:paraId="35B7AC8C"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t xml:space="preserve">The first scenario </w:t>
      </w:r>
      <w:proofErr w:type="spellStart"/>
      <w:r w:rsidRPr="00A218B2">
        <w:rPr>
          <w:color w:val="000000"/>
          <w:lang w:val="en-ID"/>
        </w:rPr>
        <w:t>analyzed</w:t>
      </w:r>
      <w:proofErr w:type="spellEnd"/>
      <w:r w:rsidRPr="00A218B2">
        <w:rPr>
          <w:color w:val="000000"/>
          <w:lang w:val="en-ID"/>
        </w:rPr>
        <w:t xml:space="preserve"> considers high regulatory stringency without sufficient enforcement capacity. While the regulation imposes stricter rules on lobster seed trade, limited resources and inadequate interagency coordination create a vulnerability exploited by smuggling networks. Forecasting models suggest that up to 60% of foreign market demand could be satisfied through illegal channels by 2026 under these conditions (Eide &amp; </w:t>
      </w:r>
      <w:proofErr w:type="spellStart"/>
      <w:r w:rsidRPr="00A218B2">
        <w:rPr>
          <w:color w:val="000000"/>
          <w:lang w:val="en-ID"/>
        </w:rPr>
        <w:t>Skonhoft</w:t>
      </w:r>
      <w:proofErr w:type="spellEnd"/>
      <w:r w:rsidRPr="00A218B2">
        <w:rPr>
          <w:color w:val="000000"/>
          <w:lang w:val="en-ID"/>
        </w:rPr>
        <w:t xml:space="preserve">, 2020). Moreover, smugglers are likely to adopt adaptive tactics, such as employing smaller vessels and fragmented distribution networks, complicating detection efforts. The scenario demonstrates the theoretical principle of regulatory mismatch, where ambitious policy objectives cannot be achieved without the corresponding operational capacity, highlighting the necessity of linking das </w:t>
      </w:r>
      <w:proofErr w:type="spellStart"/>
      <w:r w:rsidRPr="00A218B2">
        <w:rPr>
          <w:color w:val="000000"/>
          <w:lang w:val="en-ID"/>
        </w:rPr>
        <w:t>sollen</w:t>
      </w:r>
      <w:proofErr w:type="spellEnd"/>
      <w:r w:rsidRPr="00A218B2">
        <w:rPr>
          <w:color w:val="000000"/>
          <w:lang w:val="en-ID"/>
        </w:rPr>
        <w:t xml:space="preserve"> with realistic das sein conditions.</w:t>
      </w:r>
    </w:p>
    <w:p w14:paraId="626345E8"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t>A second scenario examines the impact of enhanced enforcement with weak interagency coordination. Even with increased resources allocated to the Ministry of Marine Affairs and Fisheries, the Indonesian Navy, and customs authorities, forecasting based on Delphi expert consensus indicates only moderate reductions in smuggling, estimated at 15–20% in the short term (Hsu &amp; Sandford, 2007). The persistence of illegal activity in this scenario underscores the importance of integrated maritime surveillance protocols and joint operational strategies. This aligns with organizational theory and public administration literature, which emphasizes that coordination failures within complex systems often negate the benefits of increased resources, reinforcing the concept that enforcement effectiveness is a function of both capacity and institutional integration.</w:t>
      </w:r>
    </w:p>
    <w:p w14:paraId="157DC753"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lastRenderedPageBreak/>
        <w:t xml:space="preserve">The third scenario highlights external market dynamics as a critical driver of smuggling activity. Empirical elasticity models suggest that ongoing increases in demand from China and Vietnam, estimated at approximately 12% per year, will continue to pressure domestic lobster supply regardless of regulatory measures (Nguyen &amp; Tran, 2021). In this context, even robust enforcement may not suffice, as higher prices offered to fisherfolk create powerful socio-economic incentives for participation in illegal trade. The scenario exemplifies the application of rational choice theory, where actors engage in </w:t>
      </w:r>
      <w:proofErr w:type="spellStart"/>
      <w:r w:rsidRPr="00A218B2">
        <w:rPr>
          <w:color w:val="000000"/>
          <w:lang w:val="en-ID"/>
        </w:rPr>
        <w:t>behavior</w:t>
      </w:r>
      <w:proofErr w:type="spellEnd"/>
      <w:r w:rsidRPr="00A218B2">
        <w:rPr>
          <w:color w:val="000000"/>
          <w:lang w:val="en-ID"/>
        </w:rPr>
        <w:t xml:space="preserve"> that maximizes personal utility—in this case, household income—despite the legal and environmental risks. Forecasting demonstrates that without addressing external market pressures, policy measures alone are insufficient to disrupt smuggling networks.</w:t>
      </w:r>
    </w:p>
    <w:p w14:paraId="1554802A"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t>Socio-economic vulnerabilities of coastal communities further amplify smuggling risks. Surveys in West Nusa Tenggara indicate that up to 70% of fisher households rely on lobster seed collection as a major source of income (Yulianto et al., 2021). Projected trends suggest that by 2027, the number of households indirectly dependent on illegal lobster trade could increase by 25% in identified hotspot areas. These findings illustrate the intersection of environmental governance and development economics, demonstrating that livelihood dependency structures must be considered in policy design. Without alternative economic opportunities, community-level compliance is unlikely, and illegal supply chains will remain resilient despite regulatory interventions.</w:t>
      </w:r>
    </w:p>
    <w:p w14:paraId="65C589E5"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t xml:space="preserve">Comparative international experience provides additional insight into the potential outcomes of </w:t>
      </w:r>
      <w:proofErr w:type="spellStart"/>
      <w:r w:rsidRPr="00A218B2">
        <w:rPr>
          <w:color w:val="000000"/>
          <w:lang w:val="en-ID"/>
        </w:rPr>
        <w:t>Permen</w:t>
      </w:r>
      <w:proofErr w:type="spellEnd"/>
      <w:r w:rsidRPr="00A218B2">
        <w:rPr>
          <w:color w:val="000000"/>
          <w:lang w:val="en-ID"/>
        </w:rPr>
        <w:t xml:space="preserve"> KKP No. 7/2024. In Vietnam, strict bans on juvenile lobster collection have not fully suppressed smuggling networks due to strong domestic demand and enforcement limitations (Nguyen &amp; Tran, 2021). Similarly, in the Philippines, prohibitions on certain fish exports led to the emergence of underground supply chains that weakened conservation outcomes (Fabinyi, 2019). These cases highlight the transnational nature of fisheries crimes and the importance of regional cooperation within frameworks such as ASEAN. Forecasting based on these international parallels suggests that unless Indonesia integrates its policy and enforcement mechanisms with </w:t>
      </w:r>
      <w:proofErr w:type="spellStart"/>
      <w:r w:rsidRPr="00A218B2">
        <w:rPr>
          <w:color w:val="000000"/>
          <w:lang w:val="en-ID"/>
        </w:rPr>
        <w:t>neighboring</w:t>
      </w:r>
      <w:proofErr w:type="spellEnd"/>
      <w:r w:rsidRPr="00A218B2">
        <w:rPr>
          <w:color w:val="000000"/>
          <w:lang w:val="en-ID"/>
        </w:rPr>
        <w:t xml:space="preserve"> countries, smuggling will likely circumvent national regulations.</w:t>
      </w:r>
    </w:p>
    <w:p w14:paraId="664810B2"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t xml:space="preserve">The synthesis of these forecasting scenarios identifies three critical policy gaps. First, a mismatch between regulation and enforcement capacity can paradoxically incentivize more sophisticated illegal operations. Second, persistent regional market demand sustains illegal supply chains, making domestic bans alone insufficient. Third, socio-economic vulnerabilities at the community level lock households into smuggling dependency, limiting compliance even when enforcement is strengthened. The use of forward-looking forecasting tools in this study addresses a gap in existing Indonesian fisheries policy research, which has largely relied on retrospective analysis of enforcement outcomes (Pramoda et al., 2022; Yulianto et al., 2021). By anticipating how actors adapt to regulatory frameworks, policymakers can design interventions that align normative objectives with the practical realities of smuggling, effectively bridging the das sein–das </w:t>
      </w:r>
      <w:proofErr w:type="spellStart"/>
      <w:r w:rsidRPr="00A218B2">
        <w:rPr>
          <w:color w:val="000000"/>
          <w:lang w:val="en-ID"/>
        </w:rPr>
        <w:t>sollen</w:t>
      </w:r>
      <w:proofErr w:type="spellEnd"/>
      <w:r w:rsidRPr="00A218B2">
        <w:rPr>
          <w:color w:val="000000"/>
          <w:lang w:val="en-ID"/>
        </w:rPr>
        <w:t xml:space="preserve"> gap.</w:t>
      </w:r>
    </w:p>
    <w:p w14:paraId="75B57C30" w14:textId="77777777" w:rsidR="00A218B2" w:rsidRPr="00A218B2" w:rsidRDefault="00A218B2" w:rsidP="00A218B2">
      <w:pPr>
        <w:pBdr>
          <w:top w:val="nil"/>
          <w:left w:val="nil"/>
          <w:bottom w:val="nil"/>
          <w:right w:val="nil"/>
          <w:between w:val="nil"/>
        </w:pBdr>
        <w:spacing w:line="276" w:lineRule="auto"/>
        <w:ind w:firstLine="709"/>
        <w:jc w:val="both"/>
        <w:rPr>
          <w:color w:val="000000"/>
          <w:lang w:val="en-ID"/>
        </w:rPr>
      </w:pPr>
      <w:r w:rsidRPr="00A218B2">
        <w:rPr>
          <w:color w:val="000000"/>
          <w:lang w:val="en-ID"/>
        </w:rPr>
        <w:lastRenderedPageBreak/>
        <w:t xml:space="preserve">In conclusion, the forecasting analysis demonstrates that </w:t>
      </w:r>
      <w:proofErr w:type="spellStart"/>
      <w:r w:rsidRPr="00A218B2">
        <w:rPr>
          <w:color w:val="000000"/>
          <w:lang w:val="en-ID"/>
        </w:rPr>
        <w:t>Permen</w:t>
      </w:r>
      <w:proofErr w:type="spellEnd"/>
      <w:r w:rsidRPr="00A218B2">
        <w:rPr>
          <w:color w:val="000000"/>
          <w:lang w:val="en-ID"/>
        </w:rPr>
        <w:t xml:space="preserve"> KKP No. 7/2024, while well-intentioned, faces significant challenges in implementation. Adaptive smuggling strategies, external market pressures, and community-level socio-economic dependencies all contribute to the persistence and potential escalation of illegal lobster seed trade. Policy interventions must therefore be multidimensional, combining regulatory stringency, enforcement capacity, interagency coordination, community livelihood programs, and regional cooperation. Integrating scenario-based forecasting into fisheries governance allows Indonesia not only to predict potential smuggling trajectories but also to proactively develop preventive measures, including enhanced maritime patrols, market monitoring, and alternative livelihood support. By doing so, Indonesia can safeguard both its marine biodiversity and the economic well-being of coastal communities, ensuring that sustainability objectives under </w:t>
      </w:r>
      <w:proofErr w:type="spellStart"/>
      <w:r w:rsidRPr="00A218B2">
        <w:rPr>
          <w:color w:val="000000"/>
          <w:lang w:val="en-ID"/>
        </w:rPr>
        <w:t>Permen</w:t>
      </w:r>
      <w:proofErr w:type="spellEnd"/>
      <w:r w:rsidRPr="00A218B2">
        <w:rPr>
          <w:color w:val="000000"/>
          <w:lang w:val="en-ID"/>
        </w:rPr>
        <w:t xml:space="preserve"> KKP No. 7/2024 are met while minimizing unintended consequences.</w:t>
      </w:r>
    </w:p>
    <w:p w14:paraId="77B87F29" w14:textId="77777777" w:rsidR="00A218B2" w:rsidRDefault="00A218B2" w:rsidP="006B57A4">
      <w:pPr>
        <w:pBdr>
          <w:top w:val="nil"/>
          <w:left w:val="nil"/>
          <w:bottom w:val="nil"/>
          <w:right w:val="nil"/>
          <w:between w:val="nil"/>
        </w:pBdr>
        <w:spacing w:line="276" w:lineRule="auto"/>
        <w:jc w:val="both"/>
        <w:rPr>
          <w:b/>
          <w:bCs/>
          <w:color w:val="000000"/>
          <w:lang w:val="en-ID"/>
        </w:rPr>
      </w:pPr>
    </w:p>
    <w:p w14:paraId="7C1A6C0F" w14:textId="7E8C28D9" w:rsidR="006B57A4" w:rsidRPr="006B57A4" w:rsidRDefault="00551404" w:rsidP="006B57A4">
      <w:pPr>
        <w:pBdr>
          <w:top w:val="nil"/>
          <w:left w:val="nil"/>
          <w:bottom w:val="nil"/>
          <w:right w:val="nil"/>
          <w:between w:val="nil"/>
        </w:pBdr>
        <w:spacing w:line="276" w:lineRule="auto"/>
        <w:jc w:val="both"/>
        <w:rPr>
          <w:b/>
          <w:bCs/>
          <w:color w:val="000000"/>
          <w:lang w:val="en-ID"/>
        </w:rPr>
      </w:pPr>
      <w:r w:rsidRPr="006B57A4">
        <w:rPr>
          <w:b/>
          <w:bCs/>
          <w:color w:val="000000"/>
          <w:lang w:val="en-ID"/>
        </w:rPr>
        <w:t>CONCLUSION</w:t>
      </w:r>
    </w:p>
    <w:p w14:paraId="4ED08E32" w14:textId="77777777" w:rsidR="00551404" w:rsidRPr="00551404" w:rsidRDefault="00551404" w:rsidP="00551404">
      <w:pPr>
        <w:pBdr>
          <w:top w:val="nil"/>
          <w:left w:val="nil"/>
          <w:bottom w:val="nil"/>
          <w:right w:val="nil"/>
          <w:between w:val="nil"/>
        </w:pBdr>
        <w:spacing w:line="276" w:lineRule="auto"/>
        <w:ind w:firstLine="709"/>
        <w:jc w:val="both"/>
        <w:rPr>
          <w:color w:val="000000"/>
          <w:lang w:val="en-ID"/>
        </w:rPr>
      </w:pPr>
      <w:r w:rsidRPr="00551404">
        <w:rPr>
          <w:color w:val="000000"/>
          <w:lang w:val="en-ID"/>
        </w:rPr>
        <w:t>This study demonstrates that the implementation of Ministerial Regulation of Marine Affairs and Fisheries (</w:t>
      </w:r>
      <w:proofErr w:type="spellStart"/>
      <w:r w:rsidRPr="00551404">
        <w:rPr>
          <w:color w:val="000000"/>
          <w:lang w:val="en-ID"/>
        </w:rPr>
        <w:t>Permen</w:t>
      </w:r>
      <w:proofErr w:type="spellEnd"/>
      <w:r w:rsidRPr="00551404">
        <w:rPr>
          <w:color w:val="000000"/>
          <w:lang w:val="en-ID"/>
        </w:rPr>
        <w:t xml:space="preserve"> KKP) No. 7 of 2024 presents a policy paradox: while it aims to stimulate the national economy through lobster seed (</w:t>
      </w:r>
      <w:proofErr w:type="spellStart"/>
      <w:r w:rsidRPr="00551404">
        <w:rPr>
          <w:color w:val="000000"/>
          <w:lang w:val="en-ID"/>
        </w:rPr>
        <w:t>benur</w:t>
      </w:r>
      <w:proofErr w:type="spellEnd"/>
      <w:r w:rsidRPr="00551404">
        <w:rPr>
          <w:color w:val="000000"/>
          <w:lang w:val="en-ID"/>
        </w:rPr>
        <w:t>) export schemes, it simultaneously opens wider opportunities for large-scale smuggling. Forecasting based on historical data from 2020–2024 indicates a sharp increase in smuggling volume, from 15 million units in 2020 to 30 million units in 2024. Projections up to 2032 reveal three possible scenarios. First, the baseline scenario shows a steady increase that still threatens marine ecosystem sustainability. Second, the tight enforcement scenario demonstrates the potential to suppress smuggling growth through strict regulation and effective law enforcement. Third, the loose enforcement scenario predicts a dramatic surge in smuggling due to weak oversight and growing international demand.</w:t>
      </w:r>
    </w:p>
    <w:p w14:paraId="31EC0049" w14:textId="77777777" w:rsidR="00551404" w:rsidRPr="00551404" w:rsidRDefault="00551404" w:rsidP="00551404">
      <w:pPr>
        <w:pBdr>
          <w:top w:val="nil"/>
          <w:left w:val="nil"/>
          <w:bottom w:val="nil"/>
          <w:right w:val="nil"/>
          <w:between w:val="nil"/>
        </w:pBdr>
        <w:spacing w:line="276" w:lineRule="auto"/>
        <w:ind w:firstLine="709"/>
        <w:jc w:val="both"/>
        <w:rPr>
          <w:color w:val="000000"/>
          <w:lang w:val="en-ID"/>
        </w:rPr>
      </w:pPr>
      <w:r w:rsidRPr="00551404">
        <w:rPr>
          <w:color w:val="000000"/>
          <w:lang w:val="en-ID"/>
        </w:rPr>
        <w:t xml:space="preserve">The findings confirm that success in addressing </w:t>
      </w:r>
      <w:proofErr w:type="spellStart"/>
      <w:r w:rsidRPr="00551404">
        <w:rPr>
          <w:color w:val="000000"/>
          <w:lang w:val="en-ID"/>
        </w:rPr>
        <w:t>benur</w:t>
      </w:r>
      <w:proofErr w:type="spellEnd"/>
      <w:r w:rsidRPr="00551404">
        <w:rPr>
          <w:color w:val="000000"/>
          <w:lang w:val="en-ID"/>
        </w:rPr>
        <w:t xml:space="preserve"> smuggling lies in a combined approach: regulatory stringency, strengthened enforcement capacity, and external demand management. Without strategic interventions based on forecasting scenarios, the regulation risks failing to achieve its intended objectives (das </w:t>
      </w:r>
      <w:proofErr w:type="spellStart"/>
      <w:r w:rsidRPr="00551404">
        <w:rPr>
          <w:color w:val="000000"/>
          <w:lang w:val="en-ID"/>
        </w:rPr>
        <w:t>sollen</w:t>
      </w:r>
      <w:proofErr w:type="spellEnd"/>
      <w:r w:rsidRPr="00551404">
        <w:rPr>
          <w:color w:val="000000"/>
          <w:lang w:val="en-ID"/>
        </w:rPr>
        <w:t>), namely sustainability of marine resources, protection of small-scale fishers, and enhancement of national economic benefits.</w:t>
      </w:r>
    </w:p>
    <w:p w14:paraId="03781EC2" w14:textId="77777777" w:rsidR="00551404" w:rsidRDefault="00551404" w:rsidP="006B57A4">
      <w:pPr>
        <w:pBdr>
          <w:top w:val="nil"/>
          <w:left w:val="nil"/>
          <w:bottom w:val="nil"/>
          <w:right w:val="nil"/>
          <w:between w:val="nil"/>
        </w:pBdr>
        <w:spacing w:line="276" w:lineRule="auto"/>
        <w:jc w:val="both"/>
        <w:rPr>
          <w:color w:val="000000"/>
          <w:lang w:val="en-ID"/>
        </w:rPr>
      </w:pPr>
    </w:p>
    <w:p w14:paraId="1AC3109A" w14:textId="77777777" w:rsidR="001148E7" w:rsidRDefault="001148E7" w:rsidP="006B57A4">
      <w:pPr>
        <w:pBdr>
          <w:top w:val="nil"/>
          <w:left w:val="nil"/>
          <w:bottom w:val="nil"/>
          <w:right w:val="nil"/>
          <w:between w:val="nil"/>
        </w:pBdr>
        <w:spacing w:line="276" w:lineRule="auto"/>
        <w:jc w:val="both"/>
        <w:rPr>
          <w:color w:val="000000"/>
          <w:lang w:val="en-ID"/>
        </w:rPr>
      </w:pPr>
    </w:p>
    <w:p w14:paraId="3D86B16E" w14:textId="77777777" w:rsidR="001148E7" w:rsidRDefault="001148E7" w:rsidP="006B57A4">
      <w:pPr>
        <w:pBdr>
          <w:top w:val="nil"/>
          <w:left w:val="nil"/>
          <w:bottom w:val="nil"/>
          <w:right w:val="nil"/>
          <w:between w:val="nil"/>
        </w:pBdr>
        <w:spacing w:line="276" w:lineRule="auto"/>
        <w:jc w:val="both"/>
        <w:rPr>
          <w:color w:val="000000"/>
          <w:lang w:val="en-ID"/>
        </w:rPr>
      </w:pPr>
    </w:p>
    <w:p w14:paraId="1F85F123" w14:textId="77777777" w:rsidR="001148E7" w:rsidRDefault="001148E7" w:rsidP="006B57A4">
      <w:pPr>
        <w:pBdr>
          <w:top w:val="nil"/>
          <w:left w:val="nil"/>
          <w:bottom w:val="nil"/>
          <w:right w:val="nil"/>
          <w:between w:val="nil"/>
        </w:pBdr>
        <w:spacing w:line="276" w:lineRule="auto"/>
        <w:jc w:val="both"/>
        <w:rPr>
          <w:color w:val="000000"/>
          <w:lang w:val="en-ID"/>
        </w:rPr>
      </w:pPr>
    </w:p>
    <w:p w14:paraId="0DC17F49" w14:textId="77777777" w:rsidR="001148E7" w:rsidRDefault="001148E7" w:rsidP="006B57A4">
      <w:pPr>
        <w:pBdr>
          <w:top w:val="nil"/>
          <w:left w:val="nil"/>
          <w:bottom w:val="nil"/>
          <w:right w:val="nil"/>
          <w:between w:val="nil"/>
        </w:pBdr>
        <w:spacing w:line="276" w:lineRule="auto"/>
        <w:jc w:val="both"/>
        <w:rPr>
          <w:color w:val="000000"/>
          <w:lang w:val="en-ID"/>
        </w:rPr>
      </w:pPr>
    </w:p>
    <w:p w14:paraId="5DD8F43D" w14:textId="77777777" w:rsidR="001148E7" w:rsidRDefault="001148E7" w:rsidP="006B57A4">
      <w:pPr>
        <w:pBdr>
          <w:top w:val="nil"/>
          <w:left w:val="nil"/>
          <w:bottom w:val="nil"/>
          <w:right w:val="nil"/>
          <w:between w:val="nil"/>
        </w:pBdr>
        <w:spacing w:line="276" w:lineRule="auto"/>
        <w:jc w:val="both"/>
        <w:rPr>
          <w:color w:val="000000"/>
          <w:lang w:val="en-ID"/>
        </w:rPr>
      </w:pPr>
    </w:p>
    <w:p w14:paraId="1EC659D4" w14:textId="77777777" w:rsidR="001148E7" w:rsidRDefault="001148E7" w:rsidP="006B57A4">
      <w:pPr>
        <w:pBdr>
          <w:top w:val="nil"/>
          <w:left w:val="nil"/>
          <w:bottom w:val="nil"/>
          <w:right w:val="nil"/>
          <w:between w:val="nil"/>
        </w:pBdr>
        <w:spacing w:line="276" w:lineRule="auto"/>
        <w:jc w:val="both"/>
        <w:rPr>
          <w:color w:val="000000"/>
          <w:lang w:val="en-ID"/>
        </w:rPr>
      </w:pPr>
    </w:p>
    <w:p w14:paraId="1579A196" w14:textId="77777777" w:rsidR="001148E7" w:rsidRDefault="001148E7" w:rsidP="006B57A4">
      <w:pPr>
        <w:pBdr>
          <w:top w:val="nil"/>
          <w:left w:val="nil"/>
          <w:bottom w:val="nil"/>
          <w:right w:val="nil"/>
          <w:between w:val="nil"/>
        </w:pBdr>
        <w:spacing w:line="276" w:lineRule="auto"/>
        <w:jc w:val="both"/>
        <w:rPr>
          <w:color w:val="000000"/>
          <w:lang w:val="en-ID"/>
        </w:rPr>
      </w:pPr>
    </w:p>
    <w:p w14:paraId="76D00017" w14:textId="77777777" w:rsidR="001148E7" w:rsidRDefault="001148E7" w:rsidP="006B57A4">
      <w:pPr>
        <w:pBdr>
          <w:top w:val="nil"/>
          <w:left w:val="nil"/>
          <w:bottom w:val="nil"/>
          <w:right w:val="nil"/>
          <w:between w:val="nil"/>
        </w:pBdr>
        <w:spacing w:line="276" w:lineRule="auto"/>
        <w:jc w:val="both"/>
        <w:rPr>
          <w:color w:val="000000"/>
          <w:lang w:val="en-ID"/>
        </w:rPr>
      </w:pPr>
    </w:p>
    <w:sdt>
      <w:sdtPr>
        <w:tag w:val="goog_rdk_0"/>
        <w:id w:val="983977903"/>
      </w:sdtPr>
      <w:sdtContent>
        <w:p w14:paraId="04C7FBD6" w14:textId="77777777" w:rsidR="001148E7" w:rsidRPr="00EE6905" w:rsidRDefault="001148E7" w:rsidP="001148E7">
          <w:pPr>
            <w:pBdr>
              <w:top w:val="nil"/>
              <w:left w:val="nil"/>
              <w:bottom w:val="nil"/>
              <w:right w:val="nil"/>
              <w:between w:val="nil"/>
            </w:pBdr>
            <w:spacing w:line="276" w:lineRule="auto"/>
            <w:jc w:val="center"/>
            <w:rPr>
              <w:color w:val="000000"/>
            </w:rPr>
          </w:pPr>
          <w:r w:rsidRPr="00EE6905">
            <w:rPr>
              <w:b/>
              <w:color w:val="000000"/>
            </w:rPr>
            <w:t>BIBLIOGRAPHY</w:t>
          </w:r>
        </w:p>
      </w:sdtContent>
    </w:sdt>
    <w:p w14:paraId="01ABE4D7"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Andika, T., &amp; </w:t>
      </w:r>
      <w:proofErr w:type="spellStart"/>
      <w:r w:rsidRPr="0073588C">
        <w:rPr>
          <w:color w:val="000000"/>
          <w:lang w:val="en-ID"/>
        </w:rPr>
        <w:t>Simabura</w:t>
      </w:r>
      <w:proofErr w:type="spellEnd"/>
      <w:r w:rsidRPr="0073588C">
        <w:rPr>
          <w:color w:val="000000"/>
          <w:lang w:val="en-ID"/>
        </w:rPr>
        <w:t xml:space="preserve">, C. (2024). Open Policy in The Regulation of Lobster Seed Exports in Indonesia: Sustainable Development vs Economic Growth. </w:t>
      </w:r>
      <w:r w:rsidRPr="0073588C">
        <w:rPr>
          <w:i/>
          <w:iCs/>
          <w:color w:val="000000"/>
          <w:lang w:val="en-ID"/>
        </w:rPr>
        <w:t>Bina Mulia Hukum, 9</w:t>
      </w:r>
      <w:r w:rsidRPr="0073588C">
        <w:rPr>
          <w:color w:val="000000"/>
          <w:lang w:val="en-ID"/>
        </w:rPr>
        <w:t>(1).</w:t>
      </w:r>
    </w:p>
    <w:p w14:paraId="3A76CF46"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Creswell, J. W., &amp; Plano Clark, V. L. (2018). </w:t>
      </w:r>
      <w:r w:rsidRPr="0073588C">
        <w:rPr>
          <w:i/>
          <w:iCs/>
          <w:color w:val="000000"/>
          <w:lang w:val="en-ID"/>
        </w:rPr>
        <w:t>Designing and conducting mixed methods research</w:t>
      </w:r>
      <w:r w:rsidRPr="0073588C">
        <w:rPr>
          <w:color w:val="000000"/>
          <w:lang w:val="en-ID"/>
        </w:rPr>
        <w:t xml:space="preserve"> (3rd ed.). SAGE Publications.</w:t>
      </w:r>
    </w:p>
    <w:p w14:paraId="7AFA8FB7"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Directorate General PSDKP, et al. (2024). </w:t>
      </w:r>
      <w:r w:rsidRPr="0073588C">
        <w:rPr>
          <w:i/>
          <w:iCs/>
          <w:color w:val="000000"/>
          <w:lang w:val="en-ID"/>
        </w:rPr>
        <w:t xml:space="preserve">Enforcement seizure summary (reported seizure ≈ 6.44 million </w:t>
      </w:r>
      <w:proofErr w:type="spellStart"/>
      <w:r w:rsidRPr="0073588C">
        <w:rPr>
          <w:i/>
          <w:iCs/>
          <w:color w:val="000000"/>
          <w:lang w:val="en-ID"/>
        </w:rPr>
        <w:t>benur</w:t>
      </w:r>
      <w:proofErr w:type="spellEnd"/>
      <w:r w:rsidRPr="0073588C">
        <w:rPr>
          <w:i/>
          <w:iCs/>
          <w:color w:val="000000"/>
          <w:lang w:val="en-ID"/>
        </w:rPr>
        <w:t xml:space="preserve"> in 2024)</w:t>
      </w:r>
      <w:r w:rsidRPr="0073588C">
        <w:rPr>
          <w:color w:val="000000"/>
          <w:lang w:val="en-ID"/>
        </w:rPr>
        <w:t>. Jakarta, Indonesia: Ministry of Marine Affairs and Fisheries.</w:t>
      </w:r>
    </w:p>
    <w:p w14:paraId="79685258" w14:textId="10E76335"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Eide, A., &amp; </w:t>
      </w:r>
      <w:proofErr w:type="spellStart"/>
      <w:r w:rsidRPr="0073588C">
        <w:rPr>
          <w:color w:val="000000"/>
          <w:lang w:val="en-ID"/>
        </w:rPr>
        <w:t>Skonhoft</w:t>
      </w:r>
      <w:proofErr w:type="spellEnd"/>
      <w:r w:rsidRPr="0073588C">
        <w:rPr>
          <w:color w:val="000000"/>
          <w:lang w:val="en-ID"/>
        </w:rPr>
        <w:t xml:space="preserve">, A. (2020). Regulating commercial fisheries: Resource rent taxation or effort restrictions? </w:t>
      </w:r>
      <w:r w:rsidRPr="0073588C">
        <w:rPr>
          <w:i/>
          <w:iCs/>
          <w:color w:val="000000"/>
          <w:lang w:val="en-ID"/>
        </w:rPr>
        <w:t>Marine Resource Economics, 35</w:t>
      </w:r>
      <w:r w:rsidRPr="0073588C">
        <w:rPr>
          <w:color w:val="000000"/>
          <w:lang w:val="en-ID"/>
        </w:rPr>
        <w:t xml:space="preserve">(1), 1–19. </w:t>
      </w:r>
    </w:p>
    <w:p w14:paraId="322BE558" w14:textId="17D599EF"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Fabinyi, M. (2019). Environmental fixing in marine resource management: A critical perspective. </w:t>
      </w:r>
      <w:r w:rsidRPr="0073588C">
        <w:rPr>
          <w:i/>
          <w:iCs/>
          <w:color w:val="000000"/>
          <w:lang w:val="en-ID"/>
        </w:rPr>
        <w:t>Marine Policy, 103,</w:t>
      </w:r>
      <w:r w:rsidRPr="0073588C">
        <w:rPr>
          <w:color w:val="000000"/>
          <w:lang w:val="en-ID"/>
        </w:rPr>
        <w:t xml:space="preserve"> 24–30. </w:t>
      </w:r>
    </w:p>
    <w:p w14:paraId="590A1FAF" w14:textId="787F3535"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Helton, J. C., &amp; Davis, F. J. (2003). Latin hypercube sampling and the propagation of uncertainty in analyses of complex systems. </w:t>
      </w:r>
      <w:r w:rsidRPr="0073588C">
        <w:rPr>
          <w:i/>
          <w:iCs/>
          <w:color w:val="000000"/>
          <w:lang w:val="en-ID"/>
        </w:rPr>
        <w:t>Reliability Engineering &amp; System Safety, 81</w:t>
      </w:r>
      <w:r w:rsidRPr="0073588C">
        <w:rPr>
          <w:color w:val="000000"/>
          <w:lang w:val="en-ID"/>
        </w:rPr>
        <w:t xml:space="preserve">(1), 23–69. </w:t>
      </w:r>
    </w:p>
    <w:p w14:paraId="746E57AF" w14:textId="43293079"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Hsu, C. C., &amp; Sandford, B. A. (2007). The Delphi technique: Making sense of consensus. </w:t>
      </w:r>
      <w:r w:rsidRPr="0073588C">
        <w:rPr>
          <w:i/>
          <w:iCs/>
          <w:color w:val="000000"/>
          <w:lang w:val="en-ID"/>
        </w:rPr>
        <w:t>Practical Assessment, Research, and Evaluation, 12</w:t>
      </w:r>
      <w:r w:rsidRPr="0073588C">
        <w:rPr>
          <w:color w:val="000000"/>
          <w:lang w:val="en-ID"/>
        </w:rPr>
        <w:t xml:space="preserve">(10), 1–8. </w:t>
      </w:r>
    </w:p>
    <w:p w14:paraId="4826CFFB"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proofErr w:type="spellStart"/>
      <w:r w:rsidRPr="0073588C">
        <w:rPr>
          <w:color w:val="000000"/>
          <w:lang w:val="en-ID"/>
        </w:rPr>
        <w:t>Indradinata</w:t>
      </w:r>
      <w:proofErr w:type="spellEnd"/>
      <w:r w:rsidRPr="0073588C">
        <w:rPr>
          <w:color w:val="000000"/>
          <w:lang w:val="en-ID"/>
        </w:rPr>
        <w:t xml:space="preserve">, B. (2023). Lobster Clear Seeds Smuggling’s Threats and Modes Through the Customs Side in Indonesia. </w:t>
      </w:r>
      <w:r w:rsidRPr="0073588C">
        <w:rPr>
          <w:i/>
          <w:iCs/>
          <w:color w:val="000000"/>
          <w:lang w:val="en-ID"/>
        </w:rPr>
        <w:t>Interdisciplinary Social Studies, 2</w:t>
      </w:r>
      <w:r w:rsidRPr="0073588C">
        <w:rPr>
          <w:color w:val="000000"/>
          <w:lang w:val="en-ID"/>
        </w:rPr>
        <w:t>(8).</w:t>
      </w:r>
    </w:p>
    <w:p w14:paraId="1405B052"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IPB University. (2025, June 12). </w:t>
      </w:r>
      <w:r w:rsidRPr="0073588C">
        <w:rPr>
          <w:i/>
          <w:iCs/>
          <w:color w:val="000000"/>
          <w:lang w:val="en-ID"/>
        </w:rPr>
        <w:t>Lobster Seed Smuggling Emerges Due to Weak Regulation Enforcement</w:t>
      </w:r>
      <w:r w:rsidRPr="0073588C">
        <w:rPr>
          <w:color w:val="000000"/>
          <w:lang w:val="en-ID"/>
        </w:rPr>
        <w:t>. Investigative Report.</w:t>
      </w:r>
    </w:p>
    <w:p w14:paraId="3949EEFD" w14:textId="1E3557B8"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Kroese, D. P., Brereton, T., </w:t>
      </w:r>
      <w:proofErr w:type="spellStart"/>
      <w:r w:rsidRPr="0073588C">
        <w:rPr>
          <w:color w:val="000000"/>
          <w:lang w:val="en-ID"/>
        </w:rPr>
        <w:t>Taimre</w:t>
      </w:r>
      <w:proofErr w:type="spellEnd"/>
      <w:r w:rsidRPr="0073588C">
        <w:rPr>
          <w:color w:val="000000"/>
          <w:lang w:val="en-ID"/>
        </w:rPr>
        <w:t xml:space="preserve">, T., &amp; Botev, Z. I. (2014). Why the Monte Carlo method is so important today. </w:t>
      </w:r>
      <w:r w:rsidRPr="0073588C">
        <w:rPr>
          <w:i/>
          <w:iCs/>
          <w:color w:val="000000"/>
          <w:lang w:val="en-ID"/>
        </w:rPr>
        <w:t>Wiley Interdisciplinary Reviews: Computational Statistics, 6</w:t>
      </w:r>
      <w:r w:rsidRPr="0073588C">
        <w:rPr>
          <w:color w:val="000000"/>
          <w:lang w:val="en-ID"/>
        </w:rPr>
        <w:t>(6), 386–392</w:t>
      </w:r>
    </w:p>
    <w:p w14:paraId="64623866" w14:textId="7F72E570"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Makridakis, S., Spiliotis, E., &amp; </w:t>
      </w:r>
      <w:proofErr w:type="spellStart"/>
      <w:r w:rsidRPr="0073588C">
        <w:rPr>
          <w:color w:val="000000"/>
          <w:lang w:val="en-ID"/>
        </w:rPr>
        <w:t>Assimakopoulos</w:t>
      </w:r>
      <w:proofErr w:type="spellEnd"/>
      <w:r w:rsidRPr="0073588C">
        <w:rPr>
          <w:color w:val="000000"/>
          <w:lang w:val="en-ID"/>
        </w:rPr>
        <w:t xml:space="preserve">, V. (2020). The M4 competition: 100,000 time series and 61 forecasting methods. </w:t>
      </w:r>
      <w:r w:rsidRPr="0073588C">
        <w:rPr>
          <w:i/>
          <w:iCs/>
          <w:color w:val="000000"/>
          <w:lang w:val="en-ID"/>
        </w:rPr>
        <w:t>International Journal of Forecasting, 36</w:t>
      </w:r>
      <w:r w:rsidRPr="0073588C">
        <w:rPr>
          <w:color w:val="000000"/>
          <w:lang w:val="en-ID"/>
        </w:rPr>
        <w:t xml:space="preserve">(1), 54–74. </w:t>
      </w:r>
    </w:p>
    <w:p w14:paraId="271A8EC0" w14:textId="75D8F158"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Nguyen, Q., &amp; Tran, H. (2021). Illegal trade in juvenile lobsters: A challenge for sustainable fisheries management in Vietnam. </w:t>
      </w:r>
      <w:r w:rsidRPr="0073588C">
        <w:rPr>
          <w:i/>
          <w:iCs/>
          <w:color w:val="000000"/>
          <w:lang w:val="en-ID"/>
        </w:rPr>
        <w:t>Ocean &amp; Coastal Management, 205,</w:t>
      </w:r>
      <w:r w:rsidRPr="0073588C">
        <w:rPr>
          <w:color w:val="000000"/>
          <w:lang w:val="en-ID"/>
        </w:rPr>
        <w:t xml:space="preserve"> 105539. </w:t>
      </w:r>
    </w:p>
    <w:p w14:paraId="40E33298"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proofErr w:type="spellStart"/>
      <w:r w:rsidRPr="0073588C">
        <w:rPr>
          <w:color w:val="000000"/>
          <w:lang w:val="en-ID"/>
        </w:rPr>
        <w:t>Padrisan</w:t>
      </w:r>
      <w:proofErr w:type="spellEnd"/>
      <w:r w:rsidRPr="0073588C">
        <w:rPr>
          <w:color w:val="000000"/>
          <w:lang w:val="en-ID"/>
        </w:rPr>
        <w:t xml:space="preserve">, J., &amp; Arman, Z. (2025). </w:t>
      </w:r>
      <w:proofErr w:type="spellStart"/>
      <w:r w:rsidRPr="0073588C">
        <w:rPr>
          <w:color w:val="000000"/>
          <w:lang w:val="en-ID"/>
        </w:rPr>
        <w:t>Pemberantasan</w:t>
      </w:r>
      <w:proofErr w:type="spellEnd"/>
      <w:r w:rsidRPr="0073588C">
        <w:rPr>
          <w:color w:val="000000"/>
          <w:lang w:val="en-ID"/>
        </w:rPr>
        <w:t xml:space="preserve"> </w:t>
      </w:r>
      <w:proofErr w:type="spellStart"/>
      <w:r w:rsidRPr="0073588C">
        <w:rPr>
          <w:color w:val="000000"/>
          <w:lang w:val="en-ID"/>
        </w:rPr>
        <w:t>Tindak</w:t>
      </w:r>
      <w:proofErr w:type="spellEnd"/>
      <w:r w:rsidRPr="0073588C">
        <w:rPr>
          <w:color w:val="000000"/>
          <w:lang w:val="en-ID"/>
        </w:rPr>
        <w:t xml:space="preserve"> </w:t>
      </w:r>
      <w:proofErr w:type="spellStart"/>
      <w:r w:rsidRPr="0073588C">
        <w:rPr>
          <w:color w:val="000000"/>
          <w:lang w:val="en-ID"/>
        </w:rPr>
        <w:t>Pidana</w:t>
      </w:r>
      <w:proofErr w:type="spellEnd"/>
      <w:r w:rsidRPr="0073588C">
        <w:rPr>
          <w:color w:val="000000"/>
          <w:lang w:val="en-ID"/>
        </w:rPr>
        <w:t xml:space="preserve"> </w:t>
      </w:r>
      <w:proofErr w:type="spellStart"/>
      <w:r w:rsidRPr="0073588C">
        <w:rPr>
          <w:color w:val="000000"/>
          <w:lang w:val="en-ID"/>
        </w:rPr>
        <w:t>Penyelundupan</w:t>
      </w:r>
      <w:proofErr w:type="spellEnd"/>
      <w:r w:rsidRPr="0073588C">
        <w:rPr>
          <w:color w:val="000000"/>
          <w:lang w:val="en-ID"/>
        </w:rPr>
        <w:t xml:space="preserve"> </w:t>
      </w:r>
      <w:proofErr w:type="spellStart"/>
      <w:r w:rsidRPr="0073588C">
        <w:rPr>
          <w:color w:val="000000"/>
          <w:lang w:val="en-ID"/>
        </w:rPr>
        <w:t>Benih</w:t>
      </w:r>
      <w:proofErr w:type="spellEnd"/>
      <w:r w:rsidRPr="0073588C">
        <w:rPr>
          <w:color w:val="000000"/>
          <w:lang w:val="en-ID"/>
        </w:rPr>
        <w:t xml:space="preserve"> Lobster Kota Batam. </w:t>
      </w:r>
      <w:r w:rsidRPr="0073588C">
        <w:rPr>
          <w:i/>
          <w:iCs/>
          <w:color w:val="000000"/>
          <w:lang w:val="en-ID"/>
        </w:rPr>
        <w:t>Semarang Law Review (SLR), 6</w:t>
      </w:r>
      <w:r w:rsidRPr="0073588C">
        <w:rPr>
          <w:color w:val="000000"/>
          <w:lang w:val="en-ID"/>
        </w:rPr>
        <w:t>(1).</w:t>
      </w:r>
    </w:p>
    <w:p w14:paraId="6718B8B3" w14:textId="1EAFC052"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Pramoda, R., Sari, R., &amp; Setiawan, H. (2022). Illegal lobster seed trade in Indonesia: Policy challenges and enforcement gaps. </w:t>
      </w:r>
      <w:r w:rsidRPr="0073588C">
        <w:rPr>
          <w:i/>
          <w:iCs/>
          <w:color w:val="000000"/>
          <w:lang w:val="en-ID"/>
        </w:rPr>
        <w:t>Journal of Indonesian Fisheries Policy, 14</w:t>
      </w:r>
      <w:r w:rsidRPr="0073588C">
        <w:rPr>
          <w:color w:val="000000"/>
          <w:lang w:val="en-ID"/>
        </w:rPr>
        <w:t xml:space="preserve">(2), 115–130. </w:t>
      </w:r>
    </w:p>
    <w:p w14:paraId="3A728FCE"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Research Team on Fisheries Policy. (2025). </w:t>
      </w:r>
      <w:r w:rsidRPr="0073588C">
        <w:rPr>
          <w:i/>
          <w:iCs/>
          <w:color w:val="000000"/>
          <w:lang w:val="en-ID"/>
        </w:rPr>
        <w:t xml:space="preserve">Projection of </w:t>
      </w:r>
      <w:proofErr w:type="spellStart"/>
      <w:r w:rsidRPr="0073588C">
        <w:rPr>
          <w:i/>
          <w:iCs/>
          <w:color w:val="000000"/>
          <w:lang w:val="en-ID"/>
        </w:rPr>
        <w:t>benur</w:t>
      </w:r>
      <w:proofErr w:type="spellEnd"/>
      <w:r w:rsidRPr="0073588C">
        <w:rPr>
          <w:i/>
          <w:iCs/>
          <w:color w:val="000000"/>
          <w:lang w:val="en-ID"/>
        </w:rPr>
        <w:t xml:space="preserve"> smuggling volume in Indonesia under baseline and alternative regulatory enforcement scenarios, 2025–2032</w:t>
      </w:r>
      <w:r w:rsidRPr="0073588C">
        <w:rPr>
          <w:color w:val="000000"/>
          <w:lang w:val="en-ID"/>
        </w:rPr>
        <w:t xml:space="preserve">. Jakarta, Indonesia: </w:t>
      </w:r>
      <w:proofErr w:type="spellStart"/>
      <w:r w:rsidRPr="0073588C">
        <w:rPr>
          <w:color w:val="000000"/>
          <w:lang w:val="en-ID"/>
        </w:rPr>
        <w:t>Center</w:t>
      </w:r>
      <w:proofErr w:type="spellEnd"/>
      <w:r w:rsidRPr="0073588C">
        <w:rPr>
          <w:color w:val="000000"/>
          <w:lang w:val="en-ID"/>
        </w:rPr>
        <w:t xml:space="preserve"> for Marine and Fisheries Policy Studies.</w:t>
      </w:r>
    </w:p>
    <w:p w14:paraId="5803B770" w14:textId="77777777"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Tanjung, N. S., &amp; Hidayat, R. (2024). Legal Analysis of the Regulation of the Minister of Marine Affairs and Fisheries Number 7 of 2024 Concerning Lobster Seed Management from the Perspective of </w:t>
      </w:r>
      <w:proofErr w:type="spellStart"/>
      <w:r w:rsidRPr="0073588C">
        <w:rPr>
          <w:color w:val="000000"/>
          <w:lang w:val="en-ID"/>
        </w:rPr>
        <w:t>Maslahah</w:t>
      </w:r>
      <w:proofErr w:type="spellEnd"/>
      <w:r w:rsidRPr="0073588C">
        <w:rPr>
          <w:color w:val="000000"/>
          <w:lang w:val="en-ID"/>
        </w:rPr>
        <w:t xml:space="preserve"> Mursalah: A Study of Lobster </w:t>
      </w:r>
      <w:r w:rsidRPr="0073588C">
        <w:rPr>
          <w:color w:val="000000"/>
          <w:lang w:val="en-ID"/>
        </w:rPr>
        <w:lastRenderedPageBreak/>
        <w:t xml:space="preserve">Seed Export Policy. </w:t>
      </w:r>
      <w:r w:rsidRPr="0073588C">
        <w:rPr>
          <w:i/>
          <w:iCs/>
          <w:color w:val="000000"/>
          <w:lang w:val="en-ID"/>
        </w:rPr>
        <w:t>Indonesian Interdisciplinary Journal of Sharia Economics (IIJSE), 7</w:t>
      </w:r>
      <w:r w:rsidRPr="0073588C">
        <w:rPr>
          <w:color w:val="000000"/>
          <w:lang w:val="en-ID"/>
        </w:rPr>
        <w:t>(3), 7797–7818.</w:t>
      </w:r>
    </w:p>
    <w:p w14:paraId="21A12938" w14:textId="5771CD4C" w:rsidR="0073588C" w:rsidRPr="0073588C" w:rsidRDefault="0073588C" w:rsidP="0073588C">
      <w:pPr>
        <w:pBdr>
          <w:top w:val="nil"/>
          <w:left w:val="nil"/>
          <w:bottom w:val="nil"/>
          <w:right w:val="nil"/>
          <w:between w:val="nil"/>
        </w:pBdr>
        <w:spacing w:line="276" w:lineRule="auto"/>
        <w:ind w:left="709" w:hanging="709"/>
        <w:jc w:val="both"/>
        <w:rPr>
          <w:color w:val="000000"/>
          <w:lang w:val="en-ID"/>
        </w:rPr>
      </w:pPr>
      <w:r w:rsidRPr="0073588C">
        <w:rPr>
          <w:color w:val="000000"/>
          <w:lang w:val="en-ID"/>
        </w:rPr>
        <w:t xml:space="preserve">Yulianto, I., Nurani, T. W., &amp; Satria, A. (2021). Socio-economic drivers of illegal fishing: Case study of lobster seed trade in West Nusa Tenggara. </w:t>
      </w:r>
      <w:r w:rsidRPr="0073588C">
        <w:rPr>
          <w:i/>
          <w:iCs/>
          <w:color w:val="000000"/>
          <w:lang w:val="en-ID"/>
        </w:rPr>
        <w:t>Marine Policy, 129,</w:t>
      </w:r>
      <w:r w:rsidRPr="0073588C">
        <w:rPr>
          <w:color w:val="000000"/>
          <w:lang w:val="en-ID"/>
        </w:rPr>
        <w:t xml:space="preserve"> 104517. </w:t>
      </w:r>
    </w:p>
    <w:p w14:paraId="373E2CE5" w14:textId="77777777" w:rsidR="00413071" w:rsidRPr="00D71614" w:rsidRDefault="00413071" w:rsidP="00D71614">
      <w:pPr>
        <w:pBdr>
          <w:top w:val="nil"/>
          <w:left w:val="nil"/>
          <w:bottom w:val="nil"/>
          <w:right w:val="nil"/>
          <w:between w:val="nil"/>
        </w:pBdr>
        <w:spacing w:line="276" w:lineRule="auto"/>
        <w:jc w:val="both"/>
        <w:rPr>
          <w:color w:val="000000"/>
          <w:lang w:val="en-ID"/>
        </w:rPr>
      </w:pPr>
    </w:p>
    <w:p w14:paraId="68B60D51" w14:textId="77777777" w:rsidR="00223BE7" w:rsidRPr="00EE6905" w:rsidRDefault="00223BE7" w:rsidP="00EE6905">
      <w:pPr>
        <w:ind w:left="709" w:hanging="709"/>
        <w:jc w:val="both"/>
      </w:pPr>
    </w:p>
    <w:p w14:paraId="3D531D25" w14:textId="77777777" w:rsidR="00BA2ED6" w:rsidRPr="00BA2ED6" w:rsidRDefault="00BA2ED6" w:rsidP="00BA2ED6">
      <w:pPr>
        <w:pBdr>
          <w:top w:val="nil"/>
          <w:left w:val="nil"/>
          <w:bottom w:val="nil"/>
          <w:right w:val="nil"/>
          <w:between w:val="nil"/>
        </w:pBdr>
        <w:rPr>
          <w:b/>
          <w:i/>
          <w:color w:val="000000"/>
          <w:lang w:val="en-US"/>
        </w:rPr>
      </w:pPr>
    </w:p>
    <w:p w14:paraId="3891FB78" w14:textId="77777777" w:rsidR="00BA2ED6" w:rsidRPr="00BA2ED6" w:rsidRDefault="00BA2ED6" w:rsidP="00BA2ED6">
      <w:pPr>
        <w:spacing w:line="276" w:lineRule="auto"/>
        <w:ind w:left="709" w:hanging="709"/>
        <w:jc w:val="both"/>
        <w:rPr>
          <w:color w:val="FF0000"/>
          <w:lang w:val="en-US"/>
        </w:rPr>
      </w:pPr>
      <w:r w:rsidRPr="00BA2ED6">
        <w:rPr>
          <w:noProof/>
          <w:color w:val="FF0000"/>
          <w:lang w:val="id-ID" w:eastAsia="id-ID"/>
        </w:rPr>
        <mc:AlternateContent>
          <mc:Choice Requires="wps">
            <w:drawing>
              <wp:anchor distT="0" distB="0" distL="114300" distR="114300" simplePos="0" relativeHeight="251664384" behindDoc="0" locked="0" layoutInCell="1" hidden="0" allowOverlap="1" wp14:anchorId="0D5CC856" wp14:editId="3B7E3DAB">
                <wp:simplePos x="0" y="0"/>
                <wp:positionH relativeFrom="column">
                  <wp:posOffset>-88899</wp:posOffset>
                </wp:positionH>
                <wp:positionV relativeFrom="paragraph">
                  <wp:posOffset>114300</wp:posOffset>
                </wp:positionV>
                <wp:extent cx="5353050" cy="25400"/>
                <wp:effectExtent l="0" t="0" r="0" b="0"/>
                <wp:wrapNone/>
                <wp:docPr id="2026951584" name="Straight Arrow Connector 20"/>
                <wp:cNvGraphicFramePr/>
                <a:graphic xmlns:a="http://schemas.openxmlformats.org/drawingml/2006/main">
                  <a:graphicData uri="http://schemas.microsoft.com/office/word/2010/wordprocessingShape">
                    <wps:wsp>
                      <wps:cNvCnPr/>
                      <wps:spPr>
                        <a:xfrm>
                          <a:off x="2669475" y="3780000"/>
                          <a:ext cx="5353050" cy="0"/>
                        </a:xfrm>
                        <a:prstGeom prst="straightConnector1">
                          <a:avLst/>
                        </a:prstGeom>
                        <a:noFill/>
                        <a:ln w="25400" cap="flat" cmpd="sng">
                          <a:solidFill>
                            <a:srgbClr val="9BBB59"/>
                          </a:solidFill>
                          <a:prstDash val="solid"/>
                          <a:round/>
                          <a:headEnd type="none" w="sm" len="sm"/>
                          <a:tailEnd type="none" w="sm" len="sm"/>
                        </a:ln>
                      </wps:spPr>
                      <wps:bodyPr/>
                    </wps:wsp>
                  </a:graphicData>
                </a:graphic>
              </wp:anchor>
            </w:drawing>
          </mc:Choice>
          <mc:Fallback>
            <w:pict>
              <v:shapetype w14:anchorId="570D1AD1" id="_x0000_t32" coordsize="21600,21600" o:spt="32" o:oned="t" path="m,l21600,21600e" filled="f">
                <v:path arrowok="t" fillok="f" o:connecttype="none"/>
                <o:lock v:ext="edit" shapetype="t"/>
              </v:shapetype>
              <v:shape id="Straight Arrow Connector 20" o:spid="_x0000_s1026" type="#_x0000_t32" style="position:absolute;margin-left:-7pt;margin-top:9pt;width:421.5pt;height: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" strokecolor="#9bbb59" strokeweight="2pt">
                <v:stroke startarrowwidth="narrow" startarrowlength="short" endarrowwidth="narrow" endarrowlength="short"/>
              </v:shape>
            </w:pict>
          </mc:Fallback>
        </mc:AlternateContent>
      </w:r>
    </w:p>
    <w:p w14:paraId="5368FB11" w14:textId="77777777" w:rsidR="00BA2ED6" w:rsidRPr="00BA2ED6" w:rsidRDefault="00BA2ED6" w:rsidP="00BA2ED6">
      <w:pPr>
        <w:spacing w:line="276" w:lineRule="auto"/>
        <w:ind w:left="709" w:hanging="709"/>
        <w:jc w:val="both"/>
        <w:rPr>
          <w:color w:val="FF0000"/>
          <w:lang w:val="en-US"/>
        </w:rPr>
      </w:pPr>
    </w:p>
    <w:p w14:paraId="7D749829" w14:textId="77777777" w:rsidR="00BA2ED6" w:rsidRPr="00BA2ED6" w:rsidRDefault="00BA2ED6" w:rsidP="00BA2ED6">
      <w:pPr>
        <w:spacing w:line="254" w:lineRule="auto"/>
        <w:jc w:val="center"/>
        <w:rPr>
          <w:rFonts w:eastAsia="Calibri"/>
          <w:bCs/>
          <w:lang w:val="en-US" w:eastAsia="ja-JP"/>
        </w:rPr>
      </w:pPr>
      <w:r w:rsidRPr="00BA2ED6">
        <w:rPr>
          <w:rFonts w:eastAsia="Calibri"/>
          <w:b/>
          <w:lang w:val="en-US" w:eastAsia="ja-JP"/>
        </w:rPr>
        <w:t>First publication right:</w:t>
      </w:r>
      <w:r w:rsidRPr="00BA2ED6">
        <w:rPr>
          <w:rFonts w:eastAsia="Calibri"/>
          <w:b/>
          <w:lang w:val="en-US" w:eastAsia="ja-JP"/>
        </w:rPr>
        <w:br/>
      </w:r>
      <w:hyperlink r:id="rId16" w:history="1">
        <w:proofErr w:type="spellStart"/>
        <w:r w:rsidRPr="00BA2ED6">
          <w:rPr>
            <w:rFonts w:eastAsia="Calibri"/>
            <w:color w:val="0000FF"/>
            <w:u w:val="single"/>
            <w:lang w:val="en-US" w:eastAsia="ja-JP"/>
          </w:rPr>
          <w:t>Jurnal</w:t>
        </w:r>
        <w:proofErr w:type="spellEnd"/>
        <w:r w:rsidRPr="00BA2ED6">
          <w:rPr>
            <w:rFonts w:eastAsia="Calibri"/>
            <w:color w:val="0000FF"/>
            <w:u w:val="single"/>
            <w:lang w:val="en-US" w:eastAsia="ja-JP"/>
          </w:rPr>
          <w:t xml:space="preserve"> Syntax Fusion: </w:t>
        </w:r>
        <w:proofErr w:type="spellStart"/>
        <w:r w:rsidRPr="00BA2ED6">
          <w:rPr>
            <w:rFonts w:eastAsia="Calibri"/>
            <w:color w:val="0000FF"/>
            <w:u w:val="single"/>
            <w:lang w:val="en-US" w:eastAsia="ja-JP"/>
          </w:rPr>
          <w:t>Jurnal</w:t>
        </w:r>
        <w:proofErr w:type="spellEnd"/>
        <w:r w:rsidRPr="00BA2ED6">
          <w:rPr>
            <w:rFonts w:eastAsia="Calibri"/>
            <w:color w:val="0000FF"/>
            <w:u w:val="single"/>
            <w:lang w:val="en-US" w:eastAsia="ja-JP"/>
          </w:rPr>
          <w:t xml:space="preserve"> Nasional Indonesia</w:t>
        </w:r>
      </w:hyperlink>
    </w:p>
    <w:p w14:paraId="7CFE46B1" w14:textId="77777777" w:rsidR="00BA2ED6" w:rsidRPr="00BA2ED6" w:rsidRDefault="00BA2ED6" w:rsidP="00BA2ED6">
      <w:pPr>
        <w:spacing w:line="254" w:lineRule="auto"/>
        <w:ind w:left="709" w:hanging="709"/>
        <w:jc w:val="center"/>
        <w:rPr>
          <w:rFonts w:eastAsia="Calibri"/>
          <w:b/>
          <w:lang w:val="en-US" w:eastAsia="ja-JP"/>
        </w:rPr>
      </w:pPr>
      <w:r w:rsidRPr="00BA2ED6">
        <w:rPr>
          <w:rFonts w:eastAsia="Calibri"/>
          <w:b/>
          <w:lang w:val="en-US" w:eastAsia="ja-JP"/>
        </w:rPr>
        <w:t>This article is licensed under:</w:t>
      </w:r>
    </w:p>
    <w:p w14:paraId="41EAE06C" w14:textId="77777777" w:rsidR="00BA2ED6" w:rsidRPr="00BA2ED6" w:rsidRDefault="00BA2ED6" w:rsidP="00BA2ED6">
      <w:pPr>
        <w:spacing w:line="254" w:lineRule="auto"/>
        <w:ind w:left="709" w:hanging="709"/>
        <w:jc w:val="center"/>
        <w:rPr>
          <w:rFonts w:eastAsia="Calibri"/>
          <w:bCs/>
          <w:lang w:val="en-US" w:eastAsia="ja-JP"/>
        </w:rPr>
      </w:pPr>
    </w:p>
    <w:p w14:paraId="6AB06D44" w14:textId="77777777" w:rsidR="00BA2ED6" w:rsidRPr="00BA2ED6" w:rsidRDefault="00BA2ED6" w:rsidP="00BA2ED6">
      <w:pPr>
        <w:spacing w:line="276" w:lineRule="auto"/>
        <w:ind w:left="709" w:hanging="709"/>
        <w:jc w:val="center"/>
        <w:rPr>
          <w:lang w:val="en-US"/>
        </w:rPr>
      </w:pPr>
      <w:r w:rsidRPr="00BA2ED6">
        <w:rPr>
          <w:noProof/>
          <w:lang w:val="en-US" w:eastAsia="ja-JP"/>
        </w:rPr>
        <w:drawing>
          <wp:inline distT="0" distB="0" distL="0" distR="0" wp14:anchorId="7510AC53" wp14:editId="1BAFD8E0">
            <wp:extent cx="833755" cy="291465"/>
            <wp:effectExtent l="0" t="0" r="4445" b="0"/>
            <wp:docPr id="1161397489" name="Picture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3755" cy="291465"/>
                    </a:xfrm>
                    <a:prstGeom prst="rect">
                      <a:avLst/>
                    </a:prstGeom>
                    <a:noFill/>
                    <a:ln>
                      <a:noFill/>
                    </a:ln>
                  </pic:spPr>
                </pic:pic>
              </a:graphicData>
            </a:graphic>
          </wp:inline>
        </w:drawing>
      </w:r>
    </w:p>
    <w:p w14:paraId="107B5F5B" w14:textId="77777777" w:rsidR="00223BE7" w:rsidRPr="00EE6905" w:rsidRDefault="00223BE7" w:rsidP="00EE6905">
      <w:pPr>
        <w:ind w:left="709" w:hanging="709"/>
        <w:jc w:val="both"/>
      </w:pPr>
    </w:p>
    <w:sectPr w:rsidR="00223BE7" w:rsidRPr="00EE6905" w:rsidSect="00A62DE5">
      <w:headerReference w:type="even" r:id="rId19"/>
      <w:headerReference w:type="default" r:id="rId20"/>
      <w:footerReference w:type="even" r:id="rId21"/>
      <w:footerReference w:type="default" r:id="rId22"/>
      <w:headerReference w:type="first" r:id="rId23"/>
      <w:footerReference w:type="first" r:id="rId24"/>
      <w:pgSz w:w="11907" w:h="16839"/>
      <w:pgMar w:top="1701" w:right="1701" w:bottom="1701" w:left="1701" w:header="720" w:footer="720" w:gutter="0"/>
      <w:pgNumType w:start="19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ADF0" w14:textId="77777777" w:rsidR="00EA475A" w:rsidRDefault="00EA475A">
      <w:r>
        <w:separator/>
      </w:r>
    </w:p>
  </w:endnote>
  <w:endnote w:type="continuationSeparator" w:id="0">
    <w:p w14:paraId="4825C46D" w14:textId="77777777" w:rsidR="00EA475A" w:rsidRDefault="00EA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altName w:val="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E7F3" w14:textId="7949FBF1" w:rsidR="00223BE7" w:rsidRDefault="001D76CD">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i/>
        <w:color w:val="000000"/>
      </w:rPr>
      <w:t xml:space="preserve"> </w:t>
    </w:r>
    <w:r>
      <w:rPr>
        <w:i/>
        <w:color w:val="000000"/>
      </w:rPr>
      <w:tab/>
    </w:r>
    <w:r w:rsidR="00BA2ED6">
      <w:rPr>
        <w:i/>
        <w:color w:val="000000"/>
      </w:rPr>
      <w:t xml:space="preserve">                                                   </w:t>
    </w:r>
    <w:r w:rsidR="00BA2ED6" w:rsidRPr="00BA2ED6">
      <w:rPr>
        <w:rFonts w:eastAsia="Aptos"/>
        <w:lang w:val="id-ID"/>
      </w:rPr>
      <w:t xml:space="preserve">Jurnal </w:t>
    </w:r>
    <w:proofErr w:type="spellStart"/>
    <w:r w:rsidR="00BA2ED6" w:rsidRPr="00BA2ED6">
      <w:rPr>
        <w:rFonts w:eastAsia="Aptos"/>
        <w:lang w:val="id-ID"/>
      </w:rPr>
      <w:t>Fusion</w:t>
    </w:r>
    <w:proofErr w:type="spellEnd"/>
    <w:r w:rsidR="00BA2ED6" w:rsidRPr="00BA2ED6">
      <w:rPr>
        <w:rFonts w:eastAsia="Aptos"/>
        <w:lang w:val="id-ID"/>
      </w:rPr>
      <w:t>, Vol. 5, No. 09, September 2025</w:t>
    </w:r>
    <w:r w:rsidR="00BA2ED6" w:rsidRPr="00BA2ED6">
      <w:rPr>
        <w:rFonts w:eastAsia="Aptos"/>
        <w:lang w:val="id-ID"/>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720E" w14:textId="1BC91BEE" w:rsidR="00223BE7" w:rsidRDefault="00BA2ED6">
    <w:pPr>
      <w:pBdr>
        <w:top w:val="nil"/>
        <w:left w:val="nil"/>
        <w:bottom w:val="nil"/>
        <w:right w:val="nil"/>
        <w:between w:val="nil"/>
      </w:pBdr>
      <w:tabs>
        <w:tab w:val="center" w:pos="4513"/>
        <w:tab w:val="right" w:pos="9026"/>
      </w:tabs>
      <w:rPr>
        <w:color w:val="000000"/>
      </w:rPr>
    </w:pPr>
    <w:proofErr w:type="spellStart"/>
    <w:r w:rsidRPr="00541AAD">
      <w:t>Jurnal</w:t>
    </w:r>
    <w:proofErr w:type="spellEnd"/>
    <w:r w:rsidRPr="00541AAD">
      <w:t xml:space="preserve"> Fusion, Vol. 5, No. 0</w:t>
    </w:r>
    <w:r>
      <w:t>9</w:t>
    </w:r>
    <w:r w:rsidRPr="00541AAD">
      <w:t xml:space="preserve">, </w:t>
    </w:r>
    <w:r>
      <w:t>September</w:t>
    </w:r>
    <w:r w:rsidRPr="00541AAD">
      <w:t xml:space="preserve"> 2025</w:t>
    </w:r>
    <w:r w:rsidR="001D76CD">
      <w:rPr>
        <w:color w:val="000000"/>
      </w:rPr>
      <w:tab/>
    </w:r>
    <w:r w:rsidR="001D76CD">
      <w:rPr>
        <w:color w:val="000000"/>
      </w:rPr>
      <w:tab/>
      <w:t xml:space="preserve">         </w:t>
    </w:r>
    <w:r w:rsidR="001D76CD">
      <w:rPr>
        <w:color w:val="000000"/>
      </w:rPr>
      <w:fldChar w:fldCharType="begin"/>
    </w:r>
    <w:r w:rsidR="001D76CD">
      <w:rPr>
        <w:color w:val="000000"/>
      </w:rPr>
      <w:instrText>PAGE</w:instrText>
    </w:r>
    <w:r w:rsidR="001D76CD">
      <w:rPr>
        <w:color w:val="000000"/>
      </w:rPr>
      <w:fldChar w:fldCharType="separate"/>
    </w:r>
    <w:r w:rsidR="001D76CD">
      <w:rPr>
        <w:noProof/>
        <w:color w:val="000000"/>
      </w:rPr>
      <w:t>3</w:t>
    </w:r>
    <w:r w:rsidR="001D76CD">
      <w:rPr>
        <w:color w:val="000000"/>
      </w:rPr>
      <w:fldChar w:fldCharType="end"/>
    </w:r>
  </w:p>
  <w:p w14:paraId="2CE95DAD" w14:textId="77777777" w:rsidR="00223BE7" w:rsidRDefault="00223BE7">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25AA" w14:textId="77777777" w:rsidR="00DA5C32" w:rsidRPr="00DA5C32" w:rsidRDefault="00DA5C32" w:rsidP="00DA5C32">
    <w:pPr>
      <w:tabs>
        <w:tab w:val="center" w:pos="4680"/>
        <w:tab w:val="right" w:pos="9360"/>
      </w:tabs>
      <w:rPr>
        <w:rFonts w:ascii="Arial" w:eastAsia="Arial" w:hAnsi="Arial" w:cs="Arial"/>
        <w:lang w:val="en-GB" w:eastAsia="en-ID"/>
      </w:rPr>
    </w:pPr>
    <w:r w:rsidRPr="00DA5C32">
      <w:rPr>
        <w:rFonts w:ascii="Calibri" w:eastAsia="Calibri" w:hAnsi="Calibri"/>
        <w:noProof/>
        <w:kern w:val="2"/>
        <w:sz w:val="22"/>
        <w:szCs w:val="22"/>
        <w:lang w:val="en-ID"/>
        <w14:ligatures w14:val="standardContextual"/>
      </w:rPr>
      <mc:AlternateContent>
        <mc:Choice Requires="wps">
          <w:drawing>
            <wp:anchor distT="4294967292" distB="4294967292" distL="114300" distR="114300" simplePos="0" relativeHeight="251665408" behindDoc="0" locked="0" layoutInCell="1" allowOverlap="1" wp14:anchorId="3CD33CD3" wp14:editId="0ED13DE7">
              <wp:simplePos x="0" y="0"/>
              <wp:positionH relativeFrom="column">
                <wp:posOffset>-108585</wp:posOffset>
              </wp:positionH>
              <wp:positionV relativeFrom="paragraph">
                <wp:posOffset>161290</wp:posOffset>
              </wp:positionV>
              <wp:extent cx="5505450" cy="0"/>
              <wp:effectExtent l="38100" t="38100" r="76200" b="95250"/>
              <wp:wrapNone/>
              <wp:docPr id="15548963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5450"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A4DC29C"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55pt,12.7pt" to="42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" strokecolor="#9bbb59" strokeweight="2pt">
              <v:shadow on="t" color="black" opacity="24903f" origin=",.5" offset="0,.55556mm"/>
              <o:lock v:ext="edit" shapetype="f"/>
            </v:line>
          </w:pict>
        </mc:Fallback>
      </mc:AlternateContent>
    </w:r>
  </w:p>
  <w:p w14:paraId="24B4D502" w14:textId="77777777" w:rsidR="00DA5C32" w:rsidRPr="00DA5C32" w:rsidRDefault="00DA5C32" w:rsidP="00DA5C32">
    <w:pPr>
      <w:widowControl w:val="0"/>
      <w:autoSpaceDE w:val="0"/>
      <w:autoSpaceDN w:val="0"/>
      <w:ind w:left="1560" w:hanging="1560"/>
      <w:rPr>
        <w:rFonts w:ascii="Cambria" w:eastAsia="Arial" w:hAnsi="Cambria" w:cs="Arial"/>
        <w:sz w:val="20"/>
        <w:szCs w:val="20"/>
        <w:lang w:val="en-GB" w:eastAsia="en-ID"/>
      </w:rPr>
    </w:pPr>
  </w:p>
  <w:p w14:paraId="485C7715" w14:textId="4CA1837E" w:rsidR="00DA5C32" w:rsidRPr="00DA5C32" w:rsidRDefault="00DA5C32" w:rsidP="00DA5C32">
    <w:pPr>
      <w:widowControl w:val="0"/>
      <w:autoSpaceDE w:val="0"/>
      <w:autoSpaceDN w:val="0"/>
      <w:ind w:left="1560" w:hanging="1560"/>
      <w:rPr>
        <w:rFonts w:ascii="Cambria" w:eastAsia="Calibri" w:hAnsi="Cambria" w:cs="Arial"/>
        <w:sz w:val="20"/>
        <w:szCs w:val="20"/>
        <w:lang w:val="en-GB" w:eastAsia="en-ID"/>
      </w:rPr>
    </w:pPr>
    <w:r w:rsidRPr="00DA5C32">
      <w:rPr>
        <w:rFonts w:ascii="Cambria" w:eastAsia="Arial" w:hAnsi="Cambria" w:cs="Arial"/>
        <w:sz w:val="20"/>
        <w:szCs w:val="20"/>
        <w:lang w:val="en-GB" w:eastAsia="en-ID"/>
      </w:rPr>
      <w:t>Copyright holder</w:t>
    </w:r>
    <w:r w:rsidRPr="00DA5C32">
      <w:rPr>
        <w:rFonts w:ascii="Aptos" w:eastAsia="Aptos" w:hAnsi="Aptos"/>
        <w:sz w:val="22"/>
        <w:szCs w:val="22"/>
        <w:lang w:val="id-ID"/>
      </w:rPr>
      <w:t xml:space="preserve"> </w:t>
    </w:r>
    <w:proofErr w:type="spellStart"/>
    <w:r w:rsidR="00162FA0" w:rsidRPr="00162FA0">
      <w:rPr>
        <w:rFonts w:ascii="Cambria" w:eastAsia="Arial" w:hAnsi="Cambria" w:cs="Arial"/>
        <w:sz w:val="20"/>
        <w:szCs w:val="20"/>
        <w:lang w:val="en-GB" w:eastAsia="en-ID"/>
      </w:rPr>
      <w:t>Rizqi</w:t>
    </w:r>
    <w:proofErr w:type="spellEnd"/>
    <w:r w:rsidR="00162FA0" w:rsidRPr="00162FA0">
      <w:rPr>
        <w:rFonts w:ascii="Cambria" w:eastAsia="Arial" w:hAnsi="Cambria" w:cs="Arial"/>
        <w:sz w:val="20"/>
        <w:szCs w:val="20"/>
        <w:lang w:val="en-GB" w:eastAsia="en-ID"/>
      </w:rPr>
      <w:t xml:space="preserve"> Ramadhani, Dewi Wulansari, </w:t>
    </w:r>
    <w:proofErr w:type="spellStart"/>
    <w:r w:rsidR="00162FA0" w:rsidRPr="00162FA0">
      <w:rPr>
        <w:rFonts w:ascii="Cambria" w:eastAsia="Arial" w:hAnsi="Cambria" w:cs="Arial"/>
        <w:sz w:val="20"/>
        <w:szCs w:val="20"/>
        <w:lang w:val="en-GB" w:eastAsia="en-ID"/>
      </w:rPr>
      <w:t>Krisno</w:t>
    </w:r>
    <w:proofErr w:type="spellEnd"/>
    <w:r w:rsidR="00162FA0" w:rsidRPr="00162FA0">
      <w:rPr>
        <w:rFonts w:ascii="Cambria" w:eastAsia="Arial" w:hAnsi="Cambria" w:cs="Arial"/>
        <w:sz w:val="20"/>
        <w:szCs w:val="20"/>
        <w:lang w:val="en-GB" w:eastAsia="en-ID"/>
      </w:rPr>
      <w:t xml:space="preserve"> </w:t>
    </w:r>
    <w:proofErr w:type="spellStart"/>
    <w:r w:rsidR="00162FA0" w:rsidRPr="00162FA0">
      <w:rPr>
        <w:rFonts w:ascii="Cambria" w:eastAsia="Arial" w:hAnsi="Cambria" w:cs="Arial"/>
        <w:sz w:val="20"/>
        <w:szCs w:val="20"/>
        <w:lang w:val="en-GB" w:eastAsia="en-ID"/>
      </w:rPr>
      <w:t>Legowo</w:t>
    </w:r>
    <w:proofErr w:type="spellEnd"/>
    <w:r w:rsidR="00162FA0" w:rsidRPr="00162FA0">
      <w:rPr>
        <w:rFonts w:ascii="Cambria" w:eastAsia="Arial" w:hAnsi="Cambria" w:cs="Arial"/>
        <w:sz w:val="20"/>
        <w:szCs w:val="20"/>
        <w:lang w:val="en-GB" w:eastAsia="en-ID"/>
      </w:rPr>
      <w:t xml:space="preserve"> </w:t>
    </w:r>
    <w:r w:rsidRPr="00DA5C32">
      <w:rPr>
        <w:rFonts w:ascii="Cambria" w:eastAsia="Calibri" w:hAnsi="Cambria" w:cs="Arial"/>
        <w:sz w:val="20"/>
        <w:szCs w:val="20"/>
        <w:lang w:val="en-GB" w:eastAsia="en-ID"/>
      </w:rPr>
      <w:t>(2025)</w:t>
    </w:r>
  </w:p>
  <w:p w14:paraId="1E5133CD" w14:textId="43D7F1B4" w:rsidR="00DA5C32" w:rsidRPr="00DA5C32" w:rsidRDefault="00DA5C32" w:rsidP="00DA5C32">
    <w:pPr>
      <w:widowControl w:val="0"/>
      <w:autoSpaceDE w:val="0"/>
      <w:autoSpaceDN w:val="0"/>
      <w:ind w:left="709" w:hanging="709"/>
      <w:rPr>
        <w:rFonts w:ascii="Cambria" w:eastAsia="Trebuchet MS" w:hAnsi="Cambria" w:cs="Trebuchet MS"/>
        <w:sz w:val="20"/>
        <w:szCs w:val="20"/>
        <w:lang w:val="id-ID"/>
      </w:rPr>
    </w:pPr>
    <w:r w:rsidRPr="00DA5C32">
      <w:rPr>
        <w:rFonts w:ascii="Cambria" w:eastAsia="Arial" w:hAnsi="Cambria" w:cs="Arial"/>
        <w:sz w:val="20"/>
        <w:szCs w:val="20"/>
        <w:lang w:val="en-GB" w:eastAsia="en-ID"/>
      </w:rPr>
      <w:t>DOI</w:t>
    </w:r>
    <w:r w:rsidRPr="00DA5C32">
      <w:rPr>
        <w:rFonts w:ascii="Cambria" w:eastAsia="Arial" w:hAnsi="Cambria" w:cs="Arial"/>
        <w:sz w:val="20"/>
        <w:szCs w:val="20"/>
        <w:lang w:val="en-GB" w:eastAsia="en-ID"/>
      </w:rPr>
      <w:tab/>
    </w:r>
    <w:r w:rsidRPr="00DA5C32">
      <w:rPr>
        <w:rFonts w:ascii="Cambria" w:eastAsia="Arial" w:hAnsi="Cambria" w:cs="Arial"/>
        <w:sz w:val="20"/>
        <w:szCs w:val="20"/>
        <w:lang w:val="en-GB" w:eastAsia="en-ID"/>
      </w:rPr>
      <w:tab/>
    </w:r>
    <w:r w:rsidRPr="00DA5C32">
      <w:rPr>
        <w:rFonts w:ascii="Cambria" w:eastAsia="Arial" w:hAnsi="Cambria" w:cs="Arial"/>
        <w:sz w:val="20"/>
        <w:szCs w:val="20"/>
        <w:lang w:val="en-GB" w:eastAsia="en-ID"/>
      </w:rPr>
      <w:tab/>
      <w:t xml:space="preserve">: </w:t>
    </w:r>
    <w:hyperlink r:id="rId1" w:history="1">
      <w:r w:rsidR="00162FA0" w:rsidRPr="00DA5C32">
        <w:rPr>
          <w:rStyle w:val="Hyperlink"/>
          <w:rFonts w:ascii="Cambria" w:eastAsia="Trebuchet MS" w:hAnsi="Cambria" w:cs="Trebuchet MS"/>
          <w:sz w:val="20"/>
          <w:szCs w:val="20"/>
          <w:lang w:val="id-ID"/>
        </w:rPr>
        <w:t>https://doi.org/10.54543/fusion.v</w:t>
      </w:r>
      <w:r w:rsidR="00162FA0" w:rsidRPr="00DA5C32">
        <w:rPr>
          <w:rStyle w:val="Hyperlink"/>
          <w:rFonts w:ascii="Cambria" w:eastAsia="Trebuchet MS" w:hAnsi="Cambria" w:cs="Trebuchet MS"/>
          <w:sz w:val="20"/>
          <w:szCs w:val="20"/>
          <w:lang w:val="en-US"/>
        </w:rPr>
        <w:t>5</w:t>
      </w:r>
      <w:r w:rsidR="00162FA0" w:rsidRPr="00DA5C32">
        <w:rPr>
          <w:rStyle w:val="Hyperlink"/>
          <w:rFonts w:ascii="Cambria" w:eastAsia="Trebuchet MS" w:hAnsi="Cambria" w:cs="Trebuchet MS"/>
          <w:sz w:val="20"/>
          <w:szCs w:val="20"/>
          <w:lang w:val="id-ID"/>
        </w:rPr>
        <w:t>i</w:t>
      </w:r>
      <w:r w:rsidR="00162FA0" w:rsidRPr="00DA5C32">
        <w:rPr>
          <w:rStyle w:val="Hyperlink"/>
          <w:rFonts w:ascii="Cambria" w:eastAsia="Trebuchet MS" w:hAnsi="Cambria" w:cs="Trebuchet MS"/>
          <w:sz w:val="20"/>
          <w:szCs w:val="20"/>
          <w:lang w:val="en-US"/>
        </w:rPr>
        <w:t>9</w:t>
      </w:r>
      <w:r w:rsidR="00162FA0" w:rsidRPr="00DA5C32">
        <w:rPr>
          <w:rStyle w:val="Hyperlink"/>
          <w:rFonts w:ascii="Cambria" w:eastAsia="Trebuchet MS" w:hAnsi="Cambria" w:cs="Trebuchet MS"/>
          <w:sz w:val="20"/>
          <w:szCs w:val="20"/>
          <w:lang w:val="id-ID"/>
        </w:rPr>
        <w:t>.</w:t>
      </w:r>
      <w:r w:rsidR="00162FA0" w:rsidRPr="00DA5C32">
        <w:rPr>
          <w:rStyle w:val="Hyperlink"/>
          <w:rFonts w:ascii="Cambria" w:eastAsia="Trebuchet MS" w:hAnsi="Cambria" w:cs="Trebuchet MS"/>
          <w:sz w:val="20"/>
          <w:szCs w:val="20"/>
          <w:lang w:val="en-US"/>
        </w:rPr>
        <w:t>45</w:t>
      </w:r>
      <w:r w:rsidR="00162FA0" w:rsidRPr="00F24359">
        <w:rPr>
          <w:rStyle w:val="Hyperlink"/>
          <w:rFonts w:ascii="Cambria" w:eastAsia="Trebuchet MS" w:hAnsi="Cambria" w:cs="Trebuchet MS"/>
          <w:sz w:val="20"/>
          <w:szCs w:val="20"/>
          <w:lang w:val="en-US"/>
        </w:rPr>
        <w:t>7</w:t>
      </w:r>
    </w:hyperlink>
    <w:r w:rsidRPr="00DA5C32">
      <w:rPr>
        <w:rFonts w:ascii="Cambria" w:eastAsia="Trebuchet MS" w:hAnsi="Cambria" w:cs="Trebuchet MS"/>
        <w:sz w:val="20"/>
        <w:szCs w:val="20"/>
        <w:lang w:val="en-US"/>
      </w:rPr>
      <w:t xml:space="preserve"> </w:t>
    </w:r>
  </w:p>
  <w:p w14:paraId="2559AF5E" w14:textId="2C3D0AC7" w:rsidR="00223BE7" w:rsidRDefault="00DA5C32" w:rsidP="00DA5C32">
    <w:pPr>
      <w:pBdr>
        <w:top w:val="nil"/>
        <w:left w:val="nil"/>
        <w:bottom w:val="nil"/>
        <w:right w:val="nil"/>
        <w:between w:val="nil"/>
      </w:pBdr>
      <w:tabs>
        <w:tab w:val="center" w:pos="4513"/>
        <w:tab w:val="right" w:pos="9026"/>
      </w:tabs>
      <w:rPr>
        <w:color w:val="000000"/>
      </w:rPr>
    </w:pPr>
    <w:r w:rsidRPr="00DA5C32">
      <w:rPr>
        <w:rFonts w:ascii="Cambria" w:eastAsia="Arial" w:hAnsi="Cambria" w:cs="Arial"/>
        <w:sz w:val="20"/>
        <w:szCs w:val="20"/>
        <w:lang w:val="en-GB" w:eastAsia="en-ID"/>
      </w:rPr>
      <w:t xml:space="preserve">Published by      </w:t>
    </w:r>
    <w:proofErr w:type="gramStart"/>
    <w:r w:rsidRPr="00DA5C32">
      <w:rPr>
        <w:rFonts w:ascii="Cambria" w:eastAsia="Arial" w:hAnsi="Cambria" w:cs="Arial"/>
        <w:sz w:val="20"/>
        <w:szCs w:val="20"/>
        <w:lang w:val="en-GB" w:eastAsia="en-ID"/>
      </w:rPr>
      <w:t xml:space="preserve">  :</w:t>
    </w:r>
    <w:proofErr w:type="gramEnd"/>
    <w:r w:rsidRPr="00DA5C32">
      <w:rPr>
        <w:rFonts w:ascii="Cambria" w:eastAsia="Arial" w:hAnsi="Cambria" w:cs="Arial"/>
        <w:sz w:val="20"/>
        <w:szCs w:val="20"/>
        <w:lang w:val="en-GB" w:eastAsia="en-ID"/>
      </w:rPr>
      <w:t xml:space="preserve"> </w:t>
    </w:r>
    <w:hyperlink r:id="rId2" w:history="1">
      <w:r w:rsidRPr="00DA5C32">
        <w:rPr>
          <w:rFonts w:ascii="Cambria" w:eastAsia="Arial" w:hAnsi="Cambria" w:cs="Arial"/>
          <w:color w:val="0000FF"/>
          <w:sz w:val="20"/>
          <w:szCs w:val="20"/>
          <w:lang w:val="en-GB" w:eastAsia="en-ID"/>
        </w:rPr>
        <w:t>Rifa Institute</w:t>
      </w:r>
    </w:hyperlink>
    <w:r w:rsidR="001D76CD">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EBB6" w14:textId="77777777" w:rsidR="00EA475A" w:rsidRDefault="00EA475A">
      <w:r>
        <w:separator/>
      </w:r>
    </w:p>
  </w:footnote>
  <w:footnote w:type="continuationSeparator" w:id="0">
    <w:p w14:paraId="52744DD4" w14:textId="77777777" w:rsidR="00EA475A" w:rsidRDefault="00EA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5514" w14:textId="77777777" w:rsidR="00162FA0" w:rsidRPr="00162FA0" w:rsidRDefault="00162FA0" w:rsidP="00162FA0">
    <w:pPr>
      <w:jc w:val="right"/>
      <w:rPr>
        <w:bCs/>
        <w:color w:val="000000"/>
        <w:lang w:val="en-GB"/>
      </w:rPr>
    </w:pPr>
    <w:r w:rsidRPr="00162FA0">
      <w:rPr>
        <w:bCs/>
        <w:color w:val="000000"/>
        <w:lang w:val="en-GB"/>
      </w:rPr>
      <w:t>Forecasting-Based Policy Recommendations to Anticipate the Threats of Ministry of Marine Affairs and Fisheries Regulation No. 7 of 2024 on the Rising Smuggling of Lobster Seedlings</w:t>
    </w:r>
  </w:p>
  <w:p w14:paraId="3BBAF49D" w14:textId="77777777" w:rsidR="00223BE7" w:rsidRPr="00162FA0" w:rsidRDefault="00223BE7" w:rsidP="00162FA0">
    <w:pPr>
      <w:pBdr>
        <w:top w:val="nil"/>
        <w:left w:val="nil"/>
        <w:bottom w:val="nil"/>
        <w:right w:val="nil"/>
        <w:between w:val="nil"/>
      </w:pBdr>
      <w:tabs>
        <w:tab w:val="center" w:pos="4513"/>
        <w:tab w:val="right" w:pos="9026"/>
      </w:tabs>
      <w:jc w:val="right"/>
      <w:rPr>
        <w:rFonts w:ascii="Calibri" w:eastAsia="Calibri" w:hAnsi="Calibri" w:cs="Calibri"/>
        <w:bCs/>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77B7" w14:textId="77777777" w:rsidR="00162FA0" w:rsidRPr="00162FA0" w:rsidRDefault="00162FA0" w:rsidP="00162FA0">
    <w:pPr>
      <w:jc w:val="both"/>
    </w:pPr>
    <w:proofErr w:type="spellStart"/>
    <w:r w:rsidRPr="00162FA0">
      <w:t>Rizqi</w:t>
    </w:r>
    <w:proofErr w:type="spellEnd"/>
    <w:r w:rsidRPr="00162FA0">
      <w:t xml:space="preserve"> Ramadhani, Dewi Wulansari, </w:t>
    </w:r>
    <w:proofErr w:type="spellStart"/>
    <w:r w:rsidRPr="00162FA0">
      <w:t>Krisno</w:t>
    </w:r>
    <w:proofErr w:type="spellEnd"/>
    <w:r w:rsidRPr="00162FA0">
      <w:t xml:space="preserve"> </w:t>
    </w:r>
    <w:proofErr w:type="spellStart"/>
    <w:r w:rsidRPr="00162FA0">
      <w:t>Legowo</w:t>
    </w:r>
    <w:proofErr w:type="spellEnd"/>
  </w:p>
  <w:p w14:paraId="56BDC999" w14:textId="6B3E58FB" w:rsidR="00223BE7" w:rsidRPr="00162FA0" w:rsidRDefault="00223BE7" w:rsidP="00162FA0">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A7F6" w14:textId="77777777" w:rsidR="00DA5C32" w:rsidRPr="00DA5C32" w:rsidRDefault="00DA5C32" w:rsidP="00DA5C32">
    <w:pPr>
      <w:spacing w:after="160" w:line="252" w:lineRule="auto"/>
      <w:ind w:left="3119"/>
      <w:jc w:val="center"/>
      <w:rPr>
        <w:rFonts w:ascii="Cambria" w:hAnsi="Cambria"/>
        <w:b/>
        <w:lang w:val="en-US"/>
      </w:rPr>
    </w:pPr>
    <w:bookmarkStart w:id="4" w:name="_Hlk174122378"/>
    <w:r w:rsidRPr="00DA5C32">
      <w:rPr>
        <w:rFonts w:ascii="Calibri" w:eastAsia="Calibri" w:hAnsi="Calibri" w:cs="Calibri"/>
        <w:color w:val="000000"/>
        <w:sz w:val="22"/>
        <w:szCs w:val="22"/>
        <w:lang w:val="en-US" w:eastAsia="en-ID"/>
      </w:rPr>
      <w:tab/>
    </w:r>
    <w:r w:rsidRPr="00DA5C32">
      <w:rPr>
        <w:rFonts w:ascii="Cambria" w:hAnsi="Cambria"/>
        <w:b/>
        <w:lang w:val="en-US"/>
      </w:rPr>
      <w:t>JURNAL FUSION</w:t>
    </w:r>
    <w:r w:rsidRPr="00DA5C32">
      <w:rPr>
        <w:rFonts w:ascii="Calibri" w:eastAsia="Calibri" w:hAnsi="Calibri"/>
        <w:noProof/>
        <w:kern w:val="2"/>
        <w:sz w:val="22"/>
        <w:szCs w:val="22"/>
        <w:lang w:val="en-ID"/>
        <w14:ligatures w14:val="standardContextual"/>
      </w:rPr>
      <w:drawing>
        <wp:anchor distT="0" distB="0" distL="0" distR="0" simplePos="0" relativeHeight="251662336" behindDoc="1" locked="0" layoutInCell="1" allowOverlap="1" wp14:anchorId="20142583" wp14:editId="3FEFDA5F">
          <wp:simplePos x="0" y="0"/>
          <wp:positionH relativeFrom="column">
            <wp:posOffset>110490</wp:posOffset>
          </wp:positionH>
          <wp:positionV relativeFrom="paragraph">
            <wp:posOffset>-53340</wp:posOffset>
          </wp:positionV>
          <wp:extent cx="1657350" cy="614045"/>
          <wp:effectExtent l="0" t="0" r="0" b="0"/>
          <wp:wrapNone/>
          <wp:docPr id="72088874" name="Picture 76068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6814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4045"/>
                  </a:xfrm>
                  <a:prstGeom prst="rect">
                    <a:avLst/>
                  </a:prstGeom>
                  <a:noFill/>
                </pic:spPr>
              </pic:pic>
            </a:graphicData>
          </a:graphic>
          <wp14:sizeRelH relativeFrom="page">
            <wp14:pctWidth>0</wp14:pctWidth>
          </wp14:sizeRelH>
          <wp14:sizeRelV relativeFrom="page">
            <wp14:pctHeight>0</wp14:pctHeight>
          </wp14:sizeRelV>
        </wp:anchor>
      </w:drawing>
    </w:r>
  </w:p>
  <w:p w14:paraId="7CD36D4B" w14:textId="77777777" w:rsidR="00DA5C32" w:rsidRPr="00DA5C32" w:rsidRDefault="00DA5C32" w:rsidP="00DA5C32">
    <w:pPr>
      <w:ind w:left="3119"/>
      <w:jc w:val="center"/>
      <w:rPr>
        <w:rFonts w:ascii="Cambria" w:hAnsi="Cambria"/>
        <w:lang w:val="en-US"/>
      </w:rPr>
    </w:pPr>
    <w:r w:rsidRPr="00DA5C32">
      <w:rPr>
        <w:rFonts w:ascii="Cambria" w:hAnsi="Cambria"/>
        <w:lang w:val="en-US"/>
      </w:rPr>
      <w:t>Vol 5 No 09, September 2025</w:t>
    </w:r>
    <w:r w:rsidRPr="00DA5C32">
      <w:rPr>
        <w:rFonts w:ascii="Cambria" w:hAnsi="Cambria"/>
        <w:lang w:val="en-US"/>
      </w:rPr>
      <w:br/>
      <w:t>E-ISSN: 2775-6440 | P-ISSN: 2808-7208</w:t>
    </w:r>
  </w:p>
  <w:p w14:paraId="5614C9C9" w14:textId="77777777" w:rsidR="00DA5C32" w:rsidRPr="00DA5C32" w:rsidRDefault="00DA5C32" w:rsidP="00DA5C32">
    <w:pPr>
      <w:tabs>
        <w:tab w:val="left" w:pos="1843"/>
        <w:tab w:val="center" w:pos="4513"/>
        <w:tab w:val="right" w:pos="9026"/>
      </w:tabs>
      <w:ind w:left="3119"/>
      <w:jc w:val="center"/>
      <w:rPr>
        <w:rFonts w:ascii="Cambria" w:hAnsi="Cambria"/>
        <w:b/>
        <w:color w:val="000000"/>
        <w:lang w:val="en-US"/>
      </w:rPr>
    </w:pPr>
    <w:proofErr w:type="spellStart"/>
    <w:r w:rsidRPr="00DA5C32">
      <w:rPr>
        <w:rFonts w:ascii="Cambria" w:hAnsi="Cambria"/>
        <w:color w:val="000000"/>
        <w:lang w:val="en-US"/>
      </w:rPr>
      <w:t>Jurnal</w:t>
    </w:r>
    <w:proofErr w:type="spellEnd"/>
    <w:r w:rsidRPr="00DA5C32">
      <w:rPr>
        <w:rFonts w:ascii="Cambria" w:hAnsi="Cambria"/>
        <w:color w:val="000000"/>
        <w:lang w:val="en-US"/>
      </w:rPr>
      <w:t xml:space="preserve"> Homepage </w:t>
    </w:r>
    <w:hyperlink r:id="rId2" w:history="1">
      <w:r w:rsidRPr="00DA5C32">
        <w:rPr>
          <w:rFonts w:ascii="Cambria" w:hAnsi="Cambria"/>
          <w:color w:val="0000FF"/>
          <w:lang w:val="en-US"/>
        </w:rPr>
        <w:t>https://fusion.rifainstitute.com</w:t>
      </w:r>
    </w:hyperlink>
  </w:p>
  <w:p w14:paraId="768E0174" w14:textId="77777777" w:rsidR="00DA5C32" w:rsidRPr="00DA5C32" w:rsidRDefault="00DA5C32" w:rsidP="00DA5C32">
    <w:pPr>
      <w:jc w:val="center"/>
      <w:rPr>
        <w:lang w:val="en-US"/>
      </w:rPr>
    </w:pPr>
    <w:r w:rsidRPr="00DA5C32">
      <w:rPr>
        <w:rFonts w:ascii="Calibri" w:eastAsia="Calibri" w:hAnsi="Calibri"/>
        <w:noProof/>
        <w:kern w:val="2"/>
        <w:sz w:val="22"/>
        <w:szCs w:val="22"/>
        <w:lang w:val="en-ID"/>
        <w14:ligatures w14:val="standardContextual"/>
      </w:rPr>
      <mc:AlternateContent>
        <mc:Choice Requires="wps">
          <w:drawing>
            <wp:anchor distT="0" distB="0" distL="114300" distR="114300" simplePos="0" relativeHeight="251663360" behindDoc="0" locked="0" layoutInCell="1" allowOverlap="1" wp14:anchorId="6F9948CC" wp14:editId="668AB597">
              <wp:simplePos x="0" y="0"/>
              <wp:positionH relativeFrom="column">
                <wp:posOffset>25400</wp:posOffset>
              </wp:positionH>
              <wp:positionV relativeFrom="paragraph">
                <wp:posOffset>114300</wp:posOffset>
              </wp:positionV>
              <wp:extent cx="5448300" cy="25400"/>
              <wp:effectExtent l="0" t="0" r="19050" b="31750"/>
              <wp:wrapNone/>
              <wp:docPr id="827437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25400"/>
                      </a:xfrm>
                      <a:prstGeom prst="straightConnector1">
                        <a:avLst/>
                      </a:prstGeom>
                      <a:noFill/>
                      <a:ln w="254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313CB9F" id="_x0000_t32" coordsize="21600,21600" o:spt="32" o:oned="t" path="m,l21600,21600e" filled="f">
              <v:path arrowok="t" fillok="f" o:connecttype="none"/>
              <o:lock v:ext="edit" shapetype="t"/>
            </v:shapetype>
            <v:shape id="Straight Arrow Connector 1" o:spid="_x0000_s1026" type="#_x0000_t32" style="position:absolute;margin-left:2pt;margin-top:9pt;width:429pt;height: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" strokeweight="2pt">
              <v:stroke startarrowwidth="narrow" startarrowlength="short" endarrowwidth="narrow" endarrowlength="short"/>
            </v:shape>
          </w:pict>
        </mc:Fallback>
      </mc:AlternateContent>
    </w:r>
    <w:bookmarkEnd w:id="4"/>
  </w:p>
  <w:p w14:paraId="66DEB127" w14:textId="4EE1E694" w:rsidR="00223BE7" w:rsidRPr="00DA5C32" w:rsidRDefault="00223BE7" w:rsidP="00DA5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125"/>
    <w:multiLevelType w:val="multilevel"/>
    <w:tmpl w:val="F33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5087D"/>
    <w:multiLevelType w:val="multilevel"/>
    <w:tmpl w:val="B244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2785A"/>
    <w:multiLevelType w:val="multilevel"/>
    <w:tmpl w:val="C8BC8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6FDB"/>
    <w:multiLevelType w:val="multilevel"/>
    <w:tmpl w:val="D7C4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04F14"/>
    <w:multiLevelType w:val="multilevel"/>
    <w:tmpl w:val="FBAE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D4CA5"/>
    <w:multiLevelType w:val="multilevel"/>
    <w:tmpl w:val="4BA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775E6"/>
    <w:multiLevelType w:val="multilevel"/>
    <w:tmpl w:val="720A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A18C1"/>
    <w:multiLevelType w:val="multilevel"/>
    <w:tmpl w:val="C74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E1D4C"/>
    <w:multiLevelType w:val="multilevel"/>
    <w:tmpl w:val="502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F5288"/>
    <w:multiLevelType w:val="hybridMultilevel"/>
    <w:tmpl w:val="06565600"/>
    <w:lvl w:ilvl="0" w:tplc="D3248F7A">
      <w:start w:val="2"/>
      <w:numFmt w:val="decimal"/>
      <w:lvlText w:val="%1."/>
      <w:lvlJc w:val="left"/>
      <w:pPr>
        <w:ind w:left="924" w:hanging="322"/>
      </w:pPr>
      <w:rPr>
        <w:rFonts w:ascii="Segoe UI Semibold" w:eastAsia="Segoe UI Semibold" w:hAnsi="Segoe UI Semibold" w:cs="Segoe UI Semibold" w:hint="default"/>
        <w:b w:val="0"/>
        <w:bCs w:val="0"/>
        <w:i w:val="0"/>
        <w:iCs w:val="0"/>
        <w:color w:val="0D0D0D"/>
        <w:spacing w:val="0"/>
        <w:w w:val="99"/>
        <w:sz w:val="30"/>
        <w:szCs w:val="30"/>
        <w:lang w:val="en-US" w:eastAsia="en-US" w:bidi="ar-SA"/>
      </w:rPr>
    </w:lvl>
    <w:lvl w:ilvl="1" w:tplc="D96EDF50">
      <w:numFmt w:val="bullet"/>
      <w:lvlText w:val="•"/>
      <w:lvlJc w:val="left"/>
      <w:pPr>
        <w:ind w:left="1918" w:hanging="322"/>
      </w:pPr>
      <w:rPr>
        <w:rFonts w:hint="default"/>
        <w:lang w:val="en-US" w:eastAsia="en-US" w:bidi="ar-SA"/>
      </w:rPr>
    </w:lvl>
    <w:lvl w:ilvl="2" w:tplc="A58C6636">
      <w:numFmt w:val="bullet"/>
      <w:lvlText w:val="•"/>
      <w:lvlJc w:val="left"/>
      <w:pPr>
        <w:ind w:left="2917" w:hanging="322"/>
      </w:pPr>
      <w:rPr>
        <w:rFonts w:hint="default"/>
        <w:lang w:val="en-US" w:eastAsia="en-US" w:bidi="ar-SA"/>
      </w:rPr>
    </w:lvl>
    <w:lvl w:ilvl="3" w:tplc="AD3A3208">
      <w:numFmt w:val="bullet"/>
      <w:lvlText w:val="•"/>
      <w:lvlJc w:val="left"/>
      <w:pPr>
        <w:ind w:left="3916" w:hanging="322"/>
      </w:pPr>
      <w:rPr>
        <w:rFonts w:hint="default"/>
        <w:lang w:val="en-US" w:eastAsia="en-US" w:bidi="ar-SA"/>
      </w:rPr>
    </w:lvl>
    <w:lvl w:ilvl="4" w:tplc="AF304CDE">
      <w:numFmt w:val="bullet"/>
      <w:lvlText w:val="•"/>
      <w:lvlJc w:val="left"/>
      <w:pPr>
        <w:ind w:left="4915" w:hanging="322"/>
      </w:pPr>
      <w:rPr>
        <w:rFonts w:hint="default"/>
        <w:lang w:val="en-US" w:eastAsia="en-US" w:bidi="ar-SA"/>
      </w:rPr>
    </w:lvl>
    <w:lvl w:ilvl="5" w:tplc="3ADC7A78">
      <w:numFmt w:val="bullet"/>
      <w:lvlText w:val="•"/>
      <w:lvlJc w:val="left"/>
      <w:pPr>
        <w:ind w:left="5914" w:hanging="322"/>
      </w:pPr>
      <w:rPr>
        <w:rFonts w:hint="default"/>
        <w:lang w:val="en-US" w:eastAsia="en-US" w:bidi="ar-SA"/>
      </w:rPr>
    </w:lvl>
    <w:lvl w:ilvl="6" w:tplc="C6A412A8">
      <w:numFmt w:val="bullet"/>
      <w:lvlText w:val="•"/>
      <w:lvlJc w:val="left"/>
      <w:pPr>
        <w:ind w:left="6912" w:hanging="322"/>
      </w:pPr>
      <w:rPr>
        <w:rFonts w:hint="default"/>
        <w:lang w:val="en-US" w:eastAsia="en-US" w:bidi="ar-SA"/>
      </w:rPr>
    </w:lvl>
    <w:lvl w:ilvl="7" w:tplc="0ADABB34">
      <w:numFmt w:val="bullet"/>
      <w:lvlText w:val="•"/>
      <w:lvlJc w:val="left"/>
      <w:pPr>
        <w:ind w:left="7911" w:hanging="322"/>
      </w:pPr>
      <w:rPr>
        <w:rFonts w:hint="default"/>
        <w:lang w:val="en-US" w:eastAsia="en-US" w:bidi="ar-SA"/>
      </w:rPr>
    </w:lvl>
    <w:lvl w:ilvl="8" w:tplc="534286AE">
      <w:numFmt w:val="bullet"/>
      <w:lvlText w:val="•"/>
      <w:lvlJc w:val="left"/>
      <w:pPr>
        <w:ind w:left="8910" w:hanging="322"/>
      </w:pPr>
      <w:rPr>
        <w:rFonts w:hint="default"/>
        <w:lang w:val="en-US" w:eastAsia="en-US" w:bidi="ar-SA"/>
      </w:rPr>
    </w:lvl>
  </w:abstractNum>
  <w:abstractNum w:abstractNumId="10" w15:restartNumberingAfterBreak="0">
    <w:nsid w:val="39F23BF8"/>
    <w:multiLevelType w:val="multilevel"/>
    <w:tmpl w:val="BB9C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77D4A"/>
    <w:multiLevelType w:val="multilevel"/>
    <w:tmpl w:val="96D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54ED5"/>
    <w:multiLevelType w:val="multilevel"/>
    <w:tmpl w:val="252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D3CD4"/>
    <w:multiLevelType w:val="multilevel"/>
    <w:tmpl w:val="931C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9360A"/>
    <w:multiLevelType w:val="multilevel"/>
    <w:tmpl w:val="B968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3159B"/>
    <w:multiLevelType w:val="multilevel"/>
    <w:tmpl w:val="118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012AD"/>
    <w:multiLevelType w:val="multilevel"/>
    <w:tmpl w:val="5D7E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57035"/>
    <w:multiLevelType w:val="multilevel"/>
    <w:tmpl w:val="BD5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51CD6"/>
    <w:multiLevelType w:val="multilevel"/>
    <w:tmpl w:val="00340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F0AE6"/>
    <w:multiLevelType w:val="multilevel"/>
    <w:tmpl w:val="BA7A6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C50A6D"/>
    <w:multiLevelType w:val="multilevel"/>
    <w:tmpl w:val="714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6519F"/>
    <w:multiLevelType w:val="multilevel"/>
    <w:tmpl w:val="2D6C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90132">
    <w:abstractNumId w:val="16"/>
  </w:num>
  <w:num w:numId="2" w16cid:durableId="560556749">
    <w:abstractNumId w:val="0"/>
  </w:num>
  <w:num w:numId="3" w16cid:durableId="1863014221">
    <w:abstractNumId w:val="13"/>
  </w:num>
  <w:num w:numId="4" w16cid:durableId="359744175">
    <w:abstractNumId w:val="18"/>
  </w:num>
  <w:num w:numId="5" w16cid:durableId="871456881">
    <w:abstractNumId w:val="17"/>
  </w:num>
  <w:num w:numId="6" w16cid:durableId="762451940">
    <w:abstractNumId w:val="8"/>
  </w:num>
  <w:num w:numId="7" w16cid:durableId="790634922">
    <w:abstractNumId w:val="12"/>
  </w:num>
  <w:num w:numId="8" w16cid:durableId="27032160">
    <w:abstractNumId w:val="10"/>
  </w:num>
  <w:num w:numId="9" w16cid:durableId="1827817319">
    <w:abstractNumId w:val="2"/>
  </w:num>
  <w:num w:numId="10" w16cid:durableId="5643590">
    <w:abstractNumId w:val="19"/>
  </w:num>
  <w:num w:numId="11" w16cid:durableId="1404766009">
    <w:abstractNumId w:val="15"/>
  </w:num>
  <w:num w:numId="12" w16cid:durableId="1276978811">
    <w:abstractNumId w:val="11"/>
  </w:num>
  <w:num w:numId="13" w16cid:durableId="860509459">
    <w:abstractNumId w:val="21"/>
  </w:num>
  <w:num w:numId="14" w16cid:durableId="790782178">
    <w:abstractNumId w:val="1"/>
  </w:num>
  <w:num w:numId="15" w16cid:durableId="1371147591">
    <w:abstractNumId w:val="20"/>
  </w:num>
  <w:num w:numId="16" w16cid:durableId="1420638593">
    <w:abstractNumId w:val="5"/>
  </w:num>
  <w:num w:numId="17" w16cid:durableId="1511992256">
    <w:abstractNumId w:val="14"/>
  </w:num>
  <w:num w:numId="18" w16cid:durableId="1496267413">
    <w:abstractNumId w:val="7"/>
  </w:num>
  <w:num w:numId="19" w16cid:durableId="771511167">
    <w:abstractNumId w:val="6"/>
  </w:num>
  <w:num w:numId="20" w16cid:durableId="416750553">
    <w:abstractNumId w:val="4"/>
  </w:num>
  <w:num w:numId="21" w16cid:durableId="2081629692">
    <w:abstractNumId w:val="3"/>
  </w:num>
  <w:num w:numId="22" w16cid:durableId="100212110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E7"/>
    <w:rsid w:val="001148E7"/>
    <w:rsid w:val="00162FA0"/>
    <w:rsid w:val="00190C5C"/>
    <w:rsid w:val="001B1953"/>
    <w:rsid w:val="001C0CBC"/>
    <w:rsid w:val="001D76CD"/>
    <w:rsid w:val="00223BE7"/>
    <w:rsid w:val="00231B61"/>
    <w:rsid w:val="002C07FB"/>
    <w:rsid w:val="002C5FEF"/>
    <w:rsid w:val="00301083"/>
    <w:rsid w:val="00351AE0"/>
    <w:rsid w:val="00384DB6"/>
    <w:rsid w:val="00413071"/>
    <w:rsid w:val="004A0BEA"/>
    <w:rsid w:val="0053730E"/>
    <w:rsid w:val="00551404"/>
    <w:rsid w:val="00552285"/>
    <w:rsid w:val="00561812"/>
    <w:rsid w:val="00584E8E"/>
    <w:rsid w:val="0062546D"/>
    <w:rsid w:val="00653D0A"/>
    <w:rsid w:val="006545BA"/>
    <w:rsid w:val="00663771"/>
    <w:rsid w:val="00676766"/>
    <w:rsid w:val="00692B74"/>
    <w:rsid w:val="006B57A4"/>
    <w:rsid w:val="00724806"/>
    <w:rsid w:val="0073588C"/>
    <w:rsid w:val="00772506"/>
    <w:rsid w:val="00791172"/>
    <w:rsid w:val="0086085A"/>
    <w:rsid w:val="00886B4B"/>
    <w:rsid w:val="008C2ED9"/>
    <w:rsid w:val="00921E59"/>
    <w:rsid w:val="00A218B2"/>
    <w:rsid w:val="00A62DE5"/>
    <w:rsid w:val="00BA2ED6"/>
    <w:rsid w:val="00C214E1"/>
    <w:rsid w:val="00C43C83"/>
    <w:rsid w:val="00D2755C"/>
    <w:rsid w:val="00D677C5"/>
    <w:rsid w:val="00D71614"/>
    <w:rsid w:val="00DA5C32"/>
    <w:rsid w:val="00EA475A"/>
    <w:rsid w:val="00EE6905"/>
    <w:rsid w:val="00F13C53"/>
    <w:rsid w:val="00F579EF"/>
    <w:rsid w:val="00F81721"/>
    <w:rsid w:val="00F85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E651"/>
  <w15:docId w15:val="{4DB88019-A96A-48BF-85C0-A5A49539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rPr>
      <w:lang w:eastAsia="en-US"/>
    </w:rPr>
  </w:style>
  <w:style w:type="paragraph" w:styleId="Judul1">
    <w:name w:val="heading 1"/>
    <w:basedOn w:val="Normal"/>
    <w:next w:val="Normal"/>
    <w:link w:val="Judul1KAR"/>
    <w:uiPriority w:val="9"/>
    <w:qFormat/>
    <w:rsid w:val="00BB3D38"/>
    <w:pPr>
      <w:keepNext/>
      <w:tabs>
        <w:tab w:val="num" w:pos="0"/>
      </w:tabs>
      <w:suppressAutoHyphens/>
      <w:jc w:val="both"/>
      <w:outlineLvl w:val="0"/>
    </w:pPr>
    <w:rPr>
      <w:b/>
      <w:sz w:val="20"/>
      <w:szCs w:val="20"/>
      <w:lang w:eastAsia="ar-SA"/>
    </w:rPr>
  </w:style>
  <w:style w:type="paragraph" w:styleId="Judul2">
    <w:name w:val="heading 2"/>
    <w:basedOn w:val="Normal"/>
    <w:next w:val="Normal"/>
    <w:link w:val="Judul2KAR"/>
    <w:uiPriority w:val="9"/>
    <w:semiHidden/>
    <w:unhideWhenUsed/>
    <w:qFormat/>
    <w:rsid w:val="00BB3D38"/>
    <w:pPr>
      <w:keepNext/>
      <w:tabs>
        <w:tab w:val="num" w:pos="0"/>
      </w:tabs>
      <w:suppressAutoHyphens/>
      <w:jc w:val="both"/>
      <w:outlineLvl w:val="1"/>
    </w:pPr>
    <w:rPr>
      <w:szCs w:val="20"/>
      <w:lang w:eastAsia="ar-SA"/>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rsid w:val="00BB3D38"/>
    <w:pPr>
      <w:pBdr>
        <w:bottom w:val="single" w:sz="8" w:space="4" w:color="4F81BD"/>
      </w:pBdr>
      <w:spacing w:after="300"/>
      <w:contextualSpacing/>
    </w:pPr>
    <w:rPr>
      <w:rFonts w:ascii="Cambria" w:hAnsi="Cambria"/>
      <w:color w:val="17365D"/>
      <w:spacing w:val="5"/>
      <w:kern w:val="28"/>
      <w:sz w:val="52"/>
      <w:szCs w:val="52"/>
    </w:rPr>
  </w:style>
  <w:style w:type="character" w:customStyle="1" w:styleId="Judul1KAR">
    <w:name w:val="Judul 1 KAR"/>
    <w:link w:val="Judul1"/>
    <w:rsid w:val="00BB3D38"/>
    <w:rPr>
      <w:rFonts w:ascii="Times New Roman" w:eastAsia="Times New Roman" w:hAnsi="Times New Roman" w:cs="Times New Roman"/>
      <w:b/>
      <w:sz w:val="20"/>
      <w:szCs w:val="20"/>
      <w:lang w:val="en" w:eastAsia="ar-SA"/>
    </w:rPr>
  </w:style>
  <w:style w:type="character" w:customStyle="1" w:styleId="Judul2KAR">
    <w:name w:val="Judul 2 KAR"/>
    <w:link w:val="Judul2"/>
    <w:rsid w:val="00BB3D38"/>
    <w:rPr>
      <w:rFonts w:ascii="Times New Roman" w:eastAsia="Times New Roman" w:hAnsi="Times New Roman" w:cs="Times New Roman"/>
      <w:sz w:val="24"/>
      <w:szCs w:val="20"/>
      <w:lang w:val="en" w:eastAsia="ar-SA"/>
    </w:rPr>
  </w:style>
  <w:style w:type="paragraph" w:styleId="IndenTeksIsi">
    <w:name w:val="Body Text Indent"/>
    <w:basedOn w:val="Normal"/>
    <w:link w:val="IndenTeksIsiKAR"/>
    <w:rsid w:val="00BB3D38"/>
    <w:pPr>
      <w:suppressAutoHyphens/>
      <w:ind w:firstLine="567"/>
      <w:jc w:val="both"/>
    </w:pPr>
    <w:rPr>
      <w:sz w:val="20"/>
      <w:szCs w:val="20"/>
      <w:lang w:eastAsia="ar-SA"/>
    </w:rPr>
  </w:style>
  <w:style w:type="character" w:customStyle="1" w:styleId="IndenTeksIsiKAR">
    <w:name w:val="Inden Teks Isi KAR"/>
    <w:link w:val="IndenTeksIsi"/>
    <w:rsid w:val="00BB3D38"/>
    <w:rPr>
      <w:rFonts w:ascii="Times New Roman" w:eastAsia="Times New Roman" w:hAnsi="Times New Roman" w:cs="Times New Roman"/>
      <w:sz w:val="20"/>
      <w:szCs w:val="20"/>
      <w:lang w:val="en" w:eastAsia="ar-SA"/>
    </w:rPr>
  </w:style>
  <w:style w:type="paragraph" w:customStyle="1" w:styleId="Body">
    <w:name w:val="Body"/>
    <w:basedOn w:val="IndenTeksIsi"/>
    <w:rsid w:val="00BB3D38"/>
  </w:style>
  <w:style w:type="paragraph" w:customStyle="1" w:styleId="BodyAbstract">
    <w:name w:val="Body Abstract"/>
    <w:basedOn w:val="Judul1"/>
    <w:rsid w:val="00BB3D38"/>
    <w:pPr>
      <w:tabs>
        <w:tab w:val="clear" w:pos="0"/>
      </w:tabs>
      <w:ind w:left="567" w:right="567"/>
      <w:outlineLvl w:val="9"/>
    </w:pPr>
    <w:rPr>
      <w:b w:val="0"/>
      <w:i/>
    </w:rPr>
  </w:style>
  <w:style w:type="paragraph" w:customStyle="1" w:styleId="StyleTitle">
    <w:name w:val="Style Title"/>
    <w:basedOn w:val="Judul"/>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character" w:customStyle="1" w:styleId="JudulKAR">
    <w:name w:val="Judul KAR"/>
    <w:link w:val="Judul"/>
    <w:uiPriority w:val="10"/>
    <w:rsid w:val="00BB3D38"/>
    <w:rPr>
      <w:rFonts w:ascii="Cambria" w:eastAsia="Times New Roman" w:hAnsi="Cambria" w:cs="Times New Roman"/>
      <w:color w:val="17365D"/>
      <w:spacing w:val="5"/>
      <w:kern w:val="28"/>
      <w:sz w:val="52"/>
      <w:szCs w:val="52"/>
    </w:rPr>
  </w:style>
  <w:style w:type="paragraph" w:styleId="TeksBalon">
    <w:name w:val="Balloon Text"/>
    <w:basedOn w:val="Normal"/>
    <w:link w:val="TeksBalonKAR"/>
    <w:uiPriority w:val="99"/>
    <w:semiHidden/>
    <w:unhideWhenUsed/>
    <w:rsid w:val="00BB3D38"/>
    <w:rPr>
      <w:rFonts w:ascii="Tahoma" w:hAnsi="Tahoma" w:cs="Tahoma"/>
      <w:sz w:val="16"/>
      <w:szCs w:val="16"/>
    </w:rPr>
  </w:style>
  <w:style w:type="character" w:customStyle="1" w:styleId="TeksBalonKAR">
    <w:name w:val="Teks Balon KAR"/>
    <w:link w:val="TeksBalon"/>
    <w:uiPriority w:val="99"/>
    <w:semiHidden/>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DaftarParagraf">
    <w:name w:val="List Paragraph"/>
    <w:basedOn w:val="Normal"/>
    <w:link w:val="DaftarParagrafKAR"/>
    <w:uiPriority w:val="1"/>
    <w:qFormat/>
    <w:rsid w:val="00A13955"/>
    <w:pPr>
      <w:spacing w:after="200" w:line="276" w:lineRule="auto"/>
      <w:ind w:left="720"/>
      <w:contextualSpacing/>
    </w:pPr>
    <w:rPr>
      <w:rFonts w:ascii="Calibri" w:eastAsia="Calibri" w:hAnsi="Calibri" w:cs="Arial"/>
      <w:sz w:val="22"/>
      <w:szCs w:val="22"/>
    </w:rPr>
  </w:style>
  <w:style w:type="character" w:customStyle="1" w:styleId="DaftarParagrafKAR">
    <w:name w:val="Daftar Paragraf KAR"/>
    <w:link w:val="DaftarParagraf"/>
    <w:uiPriority w:val="34"/>
    <w:locked/>
    <w:rsid w:val="00A13955"/>
    <w:rPr>
      <w:lang w:val="en"/>
    </w:rPr>
  </w:style>
  <w:style w:type="paragraph" w:styleId="Header">
    <w:name w:val="header"/>
    <w:basedOn w:val="Normal"/>
    <w:link w:val="HeaderKAR"/>
    <w:uiPriority w:val="99"/>
    <w:unhideWhenUsed/>
    <w:rsid w:val="00742133"/>
    <w:pPr>
      <w:tabs>
        <w:tab w:val="center" w:pos="4513"/>
        <w:tab w:val="right" w:pos="9026"/>
      </w:tabs>
    </w:pPr>
    <w:rPr>
      <w:rFonts w:ascii="Calibri" w:hAnsi="Calibri"/>
      <w:sz w:val="22"/>
      <w:szCs w:val="22"/>
    </w:rPr>
  </w:style>
  <w:style w:type="character" w:customStyle="1" w:styleId="HeaderKAR">
    <w:name w:val="Header KAR"/>
    <w:link w:val="Header"/>
    <w:uiPriority w:val="99"/>
    <w:rsid w:val="00742133"/>
    <w:rPr>
      <w:rFonts w:eastAsia="Times New Roman" w:cs="Times New Roman"/>
      <w:sz w:val="22"/>
      <w:szCs w:val="22"/>
      <w:lang w:val="en" w:eastAsia="en-US"/>
    </w:rPr>
  </w:style>
  <w:style w:type="paragraph" w:customStyle="1" w:styleId="1">
    <w:name w:val="1"/>
    <w:basedOn w:val="Normal"/>
    <w:qFormat/>
    <w:rsid w:val="00742133"/>
    <w:pPr>
      <w:tabs>
        <w:tab w:val="num" w:pos="420"/>
      </w:tabs>
      <w:suppressAutoHyphens/>
      <w:spacing w:before="120" w:after="120" w:line="360" w:lineRule="auto"/>
      <w:ind w:left="680" w:hanging="680"/>
      <w:jc w:val="both"/>
    </w:pPr>
    <w:rPr>
      <w:rFonts w:ascii="Arial" w:hAnsi="Arial" w:cs="Arial"/>
      <w:b/>
      <w:lang w:eastAsia="ar-SA"/>
    </w:rPr>
  </w:style>
  <w:style w:type="paragraph" w:styleId="Footer">
    <w:name w:val="footer"/>
    <w:basedOn w:val="Normal"/>
    <w:link w:val="FooterKAR"/>
    <w:uiPriority w:val="99"/>
    <w:unhideWhenUsed/>
    <w:rsid w:val="00D27E84"/>
    <w:pPr>
      <w:tabs>
        <w:tab w:val="center" w:pos="4513"/>
        <w:tab w:val="right" w:pos="9026"/>
      </w:tabs>
    </w:pPr>
  </w:style>
  <w:style w:type="character" w:customStyle="1" w:styleId="FooterKAR">
    <w:name w:val="Footer KAR"/>
    <w:link w:val="Footer"/>
    <w:uiPriority w:val="99"/>
    <w:rsid w:val="00D27E84"/>
    <w:rPr>
      <w:rFonts w:ascii="Times New Roman" w:eastAsia="Times New Roman" w:hAnsi="Times New Roman" w:cs="Times New Roman"/>
      <w:sz w:val="24"/>
      <w:szCs w:val="24"/>
      <w:lang w:val="en" w:eastAsia="en-US"/>
    </w:rPr>
  </w:style>
  <w:style w:type="character" w:styleId="SebutanHTML">
    <w:name w:val="HTML Cite"/>
    <w:uiPriority w:val="99"/>
    <w:semiHidden/>
    <w:unhideWhenUsed/>
    <w:rsid w:val="00D408F9"/>
    <w:rPr>
      <w:i/>
      <w:iCs/>
    </w:rPr>
  </w:style>
  <w:style w:type="table" w:styleId="KisiTabel">
    <w:name w:val="Table Grid"/>
    <w:basedOn w:val="TabelNormal"/>
    <w:uiPriority w:val="59"/>
    <w:unhideWhenUsed/>
    <w:rsid w:val="005F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qFormat/>
    <w:rsid w:val="008F4756"/>
    <w:pPr>
      <w:adjustRightInd w:val="0"/>
      <w:snapToGrid w:val="0"/>
      <w:spacing w:line="260" w:lineRule="atLeast"/>
      <w:ind w:firstLine="425"/>
      <w:jc w:val="both"/>
    </w:pPr>
    <w:rPr>
      <w:rFonts w:ascii="Palatino Linotype" w:hAnsi="Palatino Linotype"/>
      <w:color w:val="000000"/>
      <w:szCs w:val="22"/>
      <w:lang w:eastAsia="de-DE" w:bidi="en-US"/>
    </w:rPr>
  </w:style>
  <w:style w:type="paragraph" w:customStyle="1" w:styleId="JW33textspaceafter">
    <w:name w:val="JW_3.3_text_space_after"/>
    <w:basedOn w:val="JW31text"/>
    <w:qFormat/>
    <w:rsid w:val="008F4756"/>
    <w:pPr>
      <w:spacing w:after="240"/>
    </w:pPr>
  </w:style>
  <w:style w:type="paragraph" w:customStyle="1" w:styleId="JW34textspacebefore">
    <w:name w:val="JW_3.4_text_space_before"/>
    <w:basedOn w:val="JW31text"/>
    <w:qFormat/>
    <w:rsid w:val="008F4756"/>
    <w:pPr>
      <w:spacing w:before="240"/>
    </w:pPr>
  </w:style>
  <w:style w:type="paragraph" w:customStyle="1" w:styleId="JW39equation">
    <w:name w:val="JW_3.9_equation"/>
    <w:basedOn w:val="JW31text"/>
    <w:qFormat/>
    <w:rsid w:val="008F4756"/>
    <w:pPr>
      <w:spacing w:before="120" w:after="120"/>
      <w:ind w:left="709" w:firstLine="0"/>
      <w:jc w:val="center"/>
    </w:pPr>
  </w:style>
  <w:style w:type="paragraph" w:customStyle="1" w:styleId="JW3aequationnumber">
    <w:name w:val="JW_3.a_equation_number"/>
    <w:basedOn w:val="JW31text"/>
    <w:rsid w:val="008F4756"/>
    <w:pPr>
      <w:spacing w:before="120" w:after="120" w:line="240" w:lineRule="auto"/>
      <w:ind w:firstLine="0"/>
      <w:jc w:val="right"/>
    </w:pPr>
  </w:style>
  <w:style w:type="paragraph" w:customStyle="1" w:styleId="JW81Quote">
    <w:name w:val="JW_8.1_Quote"/>
    <w:basedOn w:val="Normal"/>
    <w:qFormat/>
    <w:rsid w:val="008F4756"/>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8F4756"/>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character" w:styleId="SebutanYangBelumTerselesaikan">
    <w:name w:val="Unresolved Mention"/>
    <w:basedOn w:val="FontParagrafDefault"/>
    <w:uiPriority w:val="99"/>
    <w:semiHidden/>
    <w:unhideWhenUsed/>
    <w:rsid w:val="002A3D4C"/>
    <w:rPr>
      <w:color w:val="605E5C"/>
      <w:shd w:val="clear" w:color="auto" w:fill="E1DFD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CellMar>
        <w:left w:w="0" w:type="dxa"/>
        <w:right w:w="0" w:type="dxa"/>
      </w:tblCellMar>
    </w:tblPr>
  </w:style>
  <w:style w:type="paragraph" w:styleId="TeksIsi">
    <w:name w:val="Body Text"/>
    <w:basedOn w:val="Normal"/>
    <w:link w:val="TeksIsiKAR"/>
    <w:uiPriority w:val="99"/>
    <w:semiHidden/>
    <w:unhideWhenUsed/>
    <w:rsid w:val="00663771"/>
    <w:pPr>
      <w:spacing w:after="120"/>
    </w:pPr>
  </w:style>
  <w:style w:type="character" w:customStyle="1" w:styleId="TeksIsiKAR">
    <w:name w:val="Teks Isi KAR"/>
    <w:basedOn w:val="FontParagrafDefault"/>
    <w:link w:val="TeksIsi"/>
    <w:uiPriority w:val="99"/>
    <w:semiHidden/>
    <w:rsid w:val="00663771"/>
    <w:rPr>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6385">
      <w:bodyDiv w:val="1"/>
      <w:marLeft w:val="0"/>
      <w:marRight w:val="0"/>
      <w:marTop w:val="0"/>
      <w:marBottom w:val="0"/>
      <w:divBdr>
        <w:top w:val="none" w:sz="0" w:space="0" w:color="auto"/>
        <w:left w:val="none" w:sz="0" w:space="0" w:color="auto"/>
        <w:bottom w:val="none" w:sz="0" w:space="0" w:color="auto"/>
        <w:right w:val="none" w:sz="0" w:space="0" w:color="auto"/>
      </w:divBdr>
    </w:div>
    <w:div w:id="371200219">
      <w:bodyDiv w:val="1"/>
      <w:marLeft w:val="0"/>
      <w:marRight w:val="0"/>
      <w:marTop w:val="0"/>
      <w:marBottom w:val="0"/>
      <w:divBdr>
        <w:top w:val="none" w:sz="0" w:space="0" w:color="auto"/>
        <w:left w:val="none" w:sz="0" w:space="0" w:color="auto"/>
        <w:bottom w:val="none" w:sz="0" w:space="0" w:color="auto"/>
        <w:right w:val="none" w:sz="0" w:space="0" w:color="auto"/>
      </w:divBdr>
    </w:div>
    <w:div w:id="560098709">
      <w:bodyDiv w:val="1"/>
      <w:marLeft w:val="0"/>
      <w:marRight w:val="0"/>
      <w:marTop w:val="0"/>
      <w:marBottom w:val="0"/>
      <w:divBdr>
        <w:top w:val="none" w:sz="0" w:space="0" w:color="auto"/>
        <w:left w:val="none" w:sz="0" w:space="0" w:color="auto"/>
        <w:bottom w:val="none" w:sz="0" w:space="0" w:color="auto"/>
        <w:right w:val="none" w:sz="0" w:space="0" w:color="auto"/>
      </w:divBdr>
    </w:div>
    <w:div w:id="680206132">
      <w:bodyDiv w:val="1"/>
      <w:marLeft w:val="0"/>
      <w:marRight w:val="0"/>
      <w:marTop w:val="0"/>
      <w:marBottom w:val="0"/>
      <w:divBdr>
        <w:top w:val="none" w:sz="0" w:space="0" w:color="auto"/>
        <w:left w:val="none" w:sz="0" w:space="0" w:color="auto"/>
        <w:bottom w:val="none" w:sz="0" w:space="0" w:color="auto"/>
        <w:right w:val="none" w:sz="0" w:space="0" w:color="auto"/>
      </w:divBdr>
    </w:div>
    <w:div w:id="774907918">
      <w:bodyDiv w:val="1"/>
      <w:marLeft w:val="0"/>
      <w:marRight w:val="0"/>
      <w:marTop w:val="0"/>
      <w:marBottom w:val="0"/>
      <w:divBdr>
        <w:top w:val="none" w:sz="0" w:space="0" w:color="auto"/>
        <w:left w:val="none" w:sz="0" w:space="0" w:color="auto"/>
        <w:bottom w:val="none" w:sz="0" w:space="0" w:color="auto"/>
        <w:right w:val="none" w:sz="0" w:space="0" w:color="auto"/>
      </w:divBdr>
    </w:div>
    <w:div w:id="782771261">
      <w:bodyDiv w:val="1"/>
      <w:marLeft w:val="0"/>
      <w:marRight w:val="0"/>
      <w:marTop w:val="0"/>
      <w:marBottom w:val="0"/>
      <w:divBdr>
        <w:top w:val="none" w:sz="0" w:space="0" w:color="auto"/>
        <w:left w:val="none" w:sz="0" w:space="0" w:color="auto"/>
        <w:bottom w:val="none" w:sz="0" w:space="0" w:color="auto"/>
        <w:right w:val="none" w:sz="0" w:space="0" w:color="auto"/>
      </w:divBdr>
    </w:div>
    <w:div w:id="831724465">
      <w:bodyDiv w:val="1"/>
      <w:marLeft w:val="0"/>
      <w:marRight w:val="0"/>
      <w:marTop w:val="0"/>
      <w:marBottom w:val="0"/>
      <w:divBdr>
        <w:top w:val="none" w:sz="0" w:space="0" w:color="auto"/>
        <w:left w:val="none" w:sz="0" w:space="0" w:color="auto"/>
        <w:bottom w:val="none" w:sz="0" w:space="0" w:color="auto"/>
        <w:right w:val="none" w:sz="0" w:space="0" w:color="auto"/>
      </w:divBdr>
    </w:div>
    <w:div w:id="930160875">
      <w:bodyDiv w:val="1"/>
      <w:marLeft w:val="0"/>
      <w:marRight w:val="0"/>
      <w:marTop w:val="0"/>
      <w:marBottom w:val="0"/>
      <w:divBdr>
        <w:top w:val="none" w:sz="0" w:space="0" w:color="auto"/>
        <w:left w:val="none" w:sz="0" w:space="0" w:color="auto"/>
        <w:bottom w:val="none" w:sz="0" w:space="0" w:color="auto"/>
        <w:right w:val="none" w:sz="0" w:space="0" w:color="auto"/>
      </w:divBdr>
    </w:div>
    <w:div w:id="951329418">
      <w:bodyDiv w:val="1"/>
      <w:marLeft w:val="0"/>
      <w:marRight w:val="0"/>
      <w:marTop w:val="0"/>
      <w:marBottom w:val="0"/>
      <w:divBdr>
        <w:top w:val="none" w:sz="0" w:space="0" w:color="auto"/>
        <w:left w:val="none" w:sz="0" w:space="0" w:color="auto"/>
        <w:bottom w:val="none" w:sz="0" w:space="0" w:color="auto"/>
        <w:right w:val="none" w:sz="0" w:space="0" w:color="auto"/>
      </w:divBdr>
    </w:div>
    <w:div w:id="980428655">
      <w:bodyDiv w:val="1"/>
      <w:marLeft w:val="0"/>
      <w:marRight w:val="0"/>
      <w:marTop w:val="0"/>
      <w:marBottom w:val="0"/>
      <w:divBdr>
        <w:top w:val="none" w:sz="0" w:space="0" w:color="auto"/>
        <w:left w:val="none" w:sz="0" w:space="0" w:color="auto"/>
        <w:bottom w:val="none" w:sz="0" w:space="0" w:color="auto"/>
        <w:right w:val="none" w:sz="0" w:space="0" w:color="auto"/>
      </w:divBdr>
    </w:div>
    <w:div w:id="1210992409">
      <w:bodyDiv w:val="1"/>
      <w:marLeft w:val="0"/>
      <w:marRight w:val="0"/>
      <w:marTop w:val="0"/>
      <w:marBottom w:val="0"/>
      <w:divBdr>
        <w:top w:val="none" w:sz="0" w:space="0" w:color="auto"/>
        <w:left w:val="none" w:sz="0" w:space="0" w:color="auto"/>
        <w:bottom w:val="none" w:sz="0" w:space="0" w:color="auto"/>
        <w:right w:val="none" w:sz="0" w:space="0" w:color="auto"/>
      </w:divBdr>
    </w:div>
    <w:div w:id="1322081711">
      <w:bodyDiv w:val="1"/>
      <w:marLeft w:val="0"/>
      <w:marRight w:val="0"/>
      <w:marTop w:val="0"/>
      <w:marBottom w:val="0"/>
      <w:divBdr>
        <w:top w:val="none" w:sz="0" w:space="0" w:color="auto"/>
        <w:left w:val="none" w:sz="0" w:space="0" w:color="auto"/>
        <w:bottom w:val="none" w:sz="0" w:space="0" w:color="auto"/>
        <w:right w:val="none" w:sz="0" w:space="0" w:color="auto"/>
      </w:divBdr>
    </w:div>
    <w:div w:id="1466390789">
      <w:bodyDiv w:val="1"/>
      <w:marLeft w:val="0"/>
      <w:marRight w:val="0"/>
      <w:marTop w:val="0"/>
      <w:marBottom w:val="0"/>
      <w:divBdr>
        <w:top w:val="none" w:sz="0" w:space="0" w:color="auto"/>
        <w:left w:val="none" w:sz="0" w:space="0" w:color="auto"/>
        <w:bottom w:val="none" w:sz="0" w:space="0" w:color="auto"/>
        <w:right w:val="none" w:sz="0" w:space="0" w:color="auto"/>
      </w:divBdr>
    </w:div>
    <w:div w:id="1505589856">
      <w:bodyDiv w:val="1"/>
      <w:marLeft w:val="0"/>
      <w:marRight w:val="0"/>
      <w:marTop w:val="0"/>
      <w:marBottom w:val="0"/>
      <w:divBdr>
        <w:top w:val="none" w:sz="0" w:space="0" w:color="auto"/>
        <w:left w:val="none" w:sz="0" w:space="0" w:color="auto"/>
        <w:bottom w:val="none" w:sz="0" w:space="0" w:color="auto"/>
        <w:right w:val="none" w:sz="0" w:space="0" w:color="auto"/>
      </w:divBdr>
    </w:div>
    <w:div w:id="1527401312">
      <w:bodyDiv w:val="1"/>
      <w:marLeft w:val="0"/>
      <w:marRight w:val="0"/>
      <w:marTop w:val="0"/>
      <w:marBottom w:val="0"/>
      <w:divBdr>
        <w:top w:val="none" w:sz="0" w:space="0" w:color="auto"/>
        <w:left w:val="none" w:sz="0" w:space="0" w:color="auto"/>
        <w:bottom w:val="none" w:sz="0" w:space="0" w:color="auto"/>
        <w:right w:val="none" w:sz="0" w:space="0" w:color="auto"/>
      </w:divBdr>
    </w:div>
    <w:div w:id="1635716468">
      <w:bodyDiv w:val="1"/>
      <w:marLeft w:val="0"/>
      <w:marRight w:val="0"/>
      <w:marTop w:val="0"/>
      <w:marBottom w:val="0"/>
      <w:divBdr>
        <w:top w:val="none" w:sz="0" w:space="0" w:color="auto"/>
        <w:left w:val="none" w:sz="0" w:space="0" w:color="auto"/>
        <w:bottom w:val="none" w:sz="0" w:space="0" w:color="auto"/>
        <w:right w:val="none" w:sz="0" w:space="0" w:color="auto"/>
      </w:divBdr>
    </w:div>
    <w:div w:id="1735735834">
      <w:bodyDiv w:val="1"/>
      <w:marLeft w:val="0"/>
      <w:marRight w:val="0"/>
      <w:marTop w:val="0"/>
      <w:marBottom w:val="0"/>
      <w:divBdr>
        <w:top w:val="none" w:sz="0" w:space="0" w:color="auto"/>
        <w:left w:val="none" w:sz="0" w:space="0" w:color="auto"/>
        <w:bottom w:val="none" w:sz="0" w:space="0" w:color="auto"/>
        <w:right w:val="none" w:sz="0" w:space="0" w:color="auto"/>
      </w:divBdr>
    </w:div>
    <w:div w:id="1809275555">
      <w:bodyDiv w:val="1"/>
      <w:marLeft w:val="0"/>
      <w:marRight w:val="0"/>
      <w:marTop w:val="0"/>
      <w:marBottom w:val="0"/>
      <w:divBdr>
        <w:top w:val="none" w:sz="0" w:space="0" w:color="auto"/>
        <w:left w:val="none" w:sz="0" w:space="0" w:color="auto"/>
        <w:bottom w:val="none" w:sz="0" w:space="0" w:color="auto"/>
        <w:right w:val="none" w:sz="0" w:space="0" w:color="auto"/>
      </w:divBdr>
    </w:div>
    <w:div w:id="1923374957">
      <w:bodyDiv w:val="1"/>
      <w:marLeft w:val="0"/>
      <w:marRight w:val="0"/>
      <w:marTop w:val="0"/>
      <w:marBottom w:val="0"/>
      <w:divBdr>
        <w:top w:val="none" w:sz="0" w:space="0" w:color="auto"/>
        <w:left w:val="none" w:sz="0" w:space="0" w:color="auto"/>
        <w:bottom w:val="none" w:sz="0" w:space="0" w:color="auto"/>
        <w:right w:val="none" w:sz="0" w:space="0" w:color="auto"/>
      </w:divBdr>
    </w:div>
    <w:div w:id="2039618279">
      <w:bodyDiv w:val="1"/>
      <w:marLeft w:val="0"/>
      <w:marRight w:val="0"/>
      <w:marTop w:val="0"/>
      <w:marBottom w:val="0"/>
      <w:divBdr>
        <w:top w:val="none" w:sz="0" w:space="0" w:color="auto"/>
        <w:left w:val="none" w:sz="0" w:space="0" w:color="auto"/>
        <w:bottom w:val="none" w:sz="0" w:space="0" w:color="auto"/>
        <w:right w:val="none" w:sz="0" w:space="0" w:color="auto"/>
      </w:divBdr>
    </w:div>
    <w:div w:id="2111075452">
      <w:bodyDiv w:val="1"/>
      <w:marLeft w:val="0"/>
      <w:marRight w:val="0"/>
      <w:marTop w:val="0"/>
      <w:marBottom w:val="0"/>
      <w:divBdr>
        <w:top w:val="none" w:sz="0" w:space="0" w:color="auto"/>
        <w:left w:val="none" w:sz="0" w:space="0" w:color="auto"/>
        <w:bottom w:val="none" w:sz="0" w:space="0" w:color="auto"/>
        <w:right w:val="none" w:sz="0" w:space="0" w:color="auto"/>
      </w:divBdr>
    </w:div>
    <w:div w:id="2119326534">
      <w:bodyDiv w:val="1"/>
      <w:marLeft w:val="0"/>
      <w:marRight w:val="0"/>
      <w:marTop w:val="0"/>
      <w:marBottom w:val="0"/>
      <w:divBdr>
        <w:top w:val="none" w:sz="0" w:space="0" w:color="auto"/>
        <w:left w:val="none" w:sz="0" w:space="0" w:color="auto"/>
        <w:bottom w:val="none" w:sz="0" w:space="0" w:color="auto"/>
        <w:right w:val="none" w:sz="0" w:space="0" w:color="auto"/>
      </w:divBdr>
    </w:div>
    <w:div w:id="2138721776">
      <w:bodyDiv w:val="1"/>
      <w:marLeft w:val="0"/>
      <w:marRight w:val="0"/>
      <w:marTop w:val="0"/>
      <w:marBottom w:val="0"/>
      <w:divBdr>
        <w:top w:val="none" w:sz="0" w:space="0" w:color="auto"/>
        <w:left w:val="none" w:sz="0" w:space="0" w:color="auto"/>
        <w:bottom w:val="none" w:sz="0" w:space="0" w:color="auto"/>
        <w:right w:val="none" w:sz="0" w:space="0" w:color="auto"/>
      </w:divBdr>
    </w:div>
    <w:div w:id="214056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creativecommons.org/licenses/by-sa/4.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usion.rifainstitute.com/index.php/fus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isalahrizqi@gmail.com" TargetMode="External"/><Relationship Id="rId14" Type="http://schemas.openxmlformats.org/officeDocument/2006/relationships/image" Target="media/image5.pn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rifainstitute.com/" TargetMode="External"/><Relationship Id="rId1" Type="http://schemas.openxmlformats.org/officeDocument/2006/relationships/hyperlink" Target="https://doi.org/10.54543/fusion.v5i9.457"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fusion.rifainstitute.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jMNynO00r6Kho54XI4cIor7XiA==">AMUW2mWXXU66kczlRNF1vblKLvGuHdO+uxfu1C2+jTuP/YkRJjXuXF2GVZC2a5oSAkvJ7eRI8pqEAJCiVrS+kwzB9y7TO+IE3eTIrGNiOsn8lR5j20VJyHKBN1IQU0gtAKdztjg7DPmC</go:docsCustomData>
</go:gDocsCustomXmlDataStorage>
</file>

<file path=customXml/itemProps1.xml><?xml version="1.0" encoding="utf-8"?>
<ds:datastoreItem xmlns:ds="http://schemas.openxmlformats.org/officeDocument/2006/customXml" ds:itemID="{B8037E8A-5E6D-4F96-955B-EFE28B871F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Nurdin Abdul</cp:lastModifiedBy>
  <cp:revision>14</cp:revision>
  <dcterms:created xsi:type="dcterms:W3CDTF">2025-09-14T19:47:00Z</dcterms:created>
  <dcterms:modified xsi:type="dcterms:W3CDTF">2025-09-16T13:23:00Z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5e35e2b6-d500-3367-a486-184ea689d8e6</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